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38" w:rsidRPr="006C0E95" w:rsidRDefault="00BE7138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FF5612">
        <w:rPr>
          <w:rFonts w:ascii="Times New Roman" w:hAnsi="Times New Roman"/>
          <w:b/>
          <w:bCs/>
          <w:iCs/>
          <w:sz w:val="28"/>
          <w:szCs w:val="28"/>
        </w:rPr>
        <w:t>ТАИЦ</w:t>
      </w:r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КОЕ </w:t>
      </w:r>
      <w:r w:rsidR="00FF5612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6C0E95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BE7138" w:rsidRPr="006C0E95" w:rsidRDefault="00BE7138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C0E95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BE7138" w:rsidRPr="006C0E95" w:rsidRDefault="00BE7138" w:rsidP="00BE7138">
      <w:pPr>
        <w:pStyle w:val="FR2"/>
        <w:ind w:left="0"/>
        <w:rPr>
          <w:rFonts w:ascii="Times New Roman" w:hAnsi="Times New Roman"/>
          <w:b/>
          <w:bCs/>
          <w:iCs/>
          <w:sz w:val="16"/>
          <w:szCs w:val="16"/>
        </w:rPr>
      </w:pPr>
    </w:p>
    <w:p w:rsidR="00BE7138" w:rsidRDefault="00BE7138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6C0E9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540CDA" w:rsidRPr="006C0E95" w:rsidRDefault="00540CDA" w:rsidP="00BE713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BE7138" w:rsidRPr="006C0E95" w:rsidRDefault="00BE7138" w:rsidP="00BE7138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« </w:t>
      </w:r>
      <w:r w:rsidR="00B7574D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FF5612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 »  декабря  201</w:t>
      </w:r>
      <w:r w:rsidR="00DD7603">
        <w:rPr>
          <w:rFonts w:ascii="Times New Roman" w:hAnsi="Times New Roman"/>
          <w:b/>
          <w:bCs/>
          <w:iCs/>
          <w:sz w:val="28"/>
          <w:szCs w:val="28"/>
        </w:rPr>
        <w:t>2</w:t>
      </w:r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   </w:t>
      </w:r>
      <w:r w:rsidR="00246EFC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="00246EFC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</w:t>
      </w:r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="00B7574D"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6C0E95">
        <w:rPr>
          <w:rFonts w:ascii="Times New Roman" w:hAnsi="Times New Roman"/>
          <w:b/>
          <w:bCs/>
          <w:iCs/>
          <w:sz w:val="28"/>
          <w:szCs w:val="28"/>
        </w:rPr>
        <w:t xml:space="preserve">№ </w:t>
      </w:r>
      <w:r w:rsidR="00FF561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46EFC">
        <w:rPr>
          <w:rFonts w:ascii="Times New Roman" w:hAnsi="Times New Roman"/>
          <w:b/>
          <w:bCs/>
          <w:iCs/>
          <w:sz w:val="28"/>
          <w:szCs w:val="28"/>
        </w:rPr>
        <w:t>60</w:t>
      </w:r>
    </w:p>
    <w:p w:rsidR="00BE7138" w:rsidRPr="006C0E95" w:rsidRDefault="00BE7138" w:rsidP="00BE7138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8"/>
          <w:szCs w:val="8"/>
        </w:rPr>
      </w:pPr>
    </w:p>
    <w:p w:rsidR="00BE7138" w:rsidRPr="006C0E95" w:rsidRDefault="00BE7138" w:rsidP="00BE7138">
      <w:pPr>
        <w:ind w:right="4854"/>
        <w:jc w:val="both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О передаче Контрольно-счетной палате Гатчинского муниципального района полномочий контрольно-счетного органа поселения</w:t>
      </w:r>
      <w:r>
        <w:rPr>
          <w:sz w:val="28"/>
          <w:szCs w:val="28"/>
          <w:lang w:val="ru-RU"/>
        </w:rPr>
        <w:t xml:space="preserve"> </w:t>
      </w:r>
      <w:r w:rsidRPr="006C0E95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C0E95">
        <w:rPr>
          <w:sz w:val="28"/>
          <w:szCs w:val="28"/>
          <w:lang w:val="ru-RU"/>
        </w:rPr>
        <w:t>осуществлению</w:t>
      </w:r>
      <w:r>
        <w:rPr>
          <w:sz w:val="28"/>
          <w:szCs w:val="28"/>
          <w:lang w:val="ru-RU"/>
        </w:rPr>
        <w:t xml:space="preserve"> </w:t>
      </w:r>
      <w:r w:rsidRPr="00DA7B6A">
        <w:rPr>
          <w:sz w:val="28"/>
          <w:szCs w:val="28"/>
          <w:lang w:val="ru-RU"/>
        </w:rPr>
        <w:t>внешнего</w:t>
      </w:r>
      <w:r>
        <w:rPr>
          <w:sz w:val="28"/>
          <w:szCs w:val="28"/>
          <w:lang w:val="ru-RU"/>
        </w:rPr>
        <w:t xml:space="preserve"> </w:t>
      </w:r>
      <w:r w:rsidRPr="00DA7B6A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</w:t>
      </w:r>
      <w:r w:rsidRPr="00DA7B6A">
        <w:rPr>
          <w:sz w:val="28"/>
          <w:szCs w:val="28"/>
          <w:lang w:val="ru-RU"/>
        </w:rPr>
        <w:t>финансового контроля</w:t>
      </w:r>
    </w:p>
    <w:p w:rsidR="00BE7138" w:rsidRPr="006C0E95" w:rsidRDefault="00BE7138" w:rsidP="00BE7138">
      <w:pPr>
        <w:pStyle w:val="Heading"/>
        <w:ind w:right="5215"/>
        <w:jc w:val="both"/>
        <w:rPr>
          <w:rFonts w:ascii="Times New Roman" w:hAnsi="Times New Roman" w:cs="Times New Roman"/>
          <w:b w:val="0"/>
          <w:iCs/>
          <w:sz w:val="8"/>
          <w:szCs w:val="8"/>
        </w:rPr>
      </w:pPr>
    </w:p>
    <w:p w:rsidR="00BE7138" w:rsidRPr="006C0E95" w:rsidRDefault="00BE7138" w:rsidP="00BE7138">
      <w:pPr>
        <w:jc w:val="both"/>
        <w:rPr>
          <w:sz w:val="28"/>
          <w:szCs w:val="28"/>
          <w:lang w:val="ru-RU"/>
        </w:rPr>
      </w:pPr>
      <w:r w:rsidRPr="006C0E95">
        <w:rPr>
          <w:sz w:val="16"/>
          <w:szCs w:val="16"/>
          <w:lang w:val="ru-RU"/>
        </w:rPr>
        <w:tab/>
      </w:r>
      <w:r w:rsidRPr="006C0E95">
        <w:rPr>
          <w:sz w:val="28"/>
          <w:szCs w:val="28"/>
          <w:lang w:val="ru-RU"/>
        </w:rPr>
        <w:t>В целях исполнения полномочий контрольно-счетного органа, в  соответствии с ч.4 ст.15 Федерального закона от 06.10.</w:t>
      </w:r>
      <w:r w:rsidR="0040104F">
        <w:rPr>
          <w:sz w:val="28"/>
          <w:szCs w:val="28"/>
          <w:lang w:val="ru-RU"/>
        </w:rPr>
        <w:t>20</w:t>
      </w:r>
      <w:r w:rsidRPr="006C0E95">
        <w:rPr>
          <w:sz w:val="28"/>
          <w:szCs w:val="28"/>
          <w:lang w:val="ru-RU"/>
        </w:rPr>
        <w:t>03 №131-ФЗ «Об общих принципах организации местного самоуправления в Российской Федерации», п.11  ст.3 Федерального закона от 07.02.</w:t>
      </w:r>
      <w:r w:rsidR="0040104F">
        <w:rPr>
          <w:sz w:val="28"/>
          <w:szCs w:val="28"/>
          <w:lang w:val="ru-RU"/>
        </w:rPr>
        <w:t>20</w:t>
      </w:r>
      <w:r w:rsidRPr="006C0E95">
        <w:rPr>
          <w:sz w:val="28"/>
          <w:szCs w:val="28"/>
          <w:lang w:val="ru-RU"/>
        </w:rPr>
        <w:t xml:space="preserve">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6063A3">
        <w:rPr>
          <w:sz w:val="28"/>
          <w:szCs w:val="28"/>
          <w:lang w:val="ru-RU"/>
        </w:rPr>
        <w:t>у</w:t>
      </w:r>
      <w:r w:rsidRPr="006C0E95">
        <w:rPr>
          <w:sz w:val="28"/>
          <w:szCs w:val="28"/>
          <w:lang w:val="ru-RU"/>
        </w:rPr>
        <w:t>ставом МО,</w:t>
      </w:r>
    </w:p>
    <w:p w:rsidR="00BE7138" w:rsidRPr="006C0E95" w:rsidRDefault="00BE7138" w:rsidP="00BE7138">
      <w:pPr>
        <w:jc w:val="both"/>
        <w:rPr>
          <w:sz w:val="16"/>
          <w:szCs w:val="16"/>
          <w:lang w:val="ru-RU"/>
        </w:rPr>
      </w:pPr>
    </w:p>
    <w:p w:rsidR="00BE7138" w:rsidRPr="006C0E95" w:rsidRDefault="00852F8E" w:rsidP="00BE713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BE7138" w:rsidRPr="006C0E95">
        <w:rPr>
          <w:b/>
          <w:sz w:val="28"/>
          <w:szCs w:val="28"/>
          <w:lang w:val="ru-RU"/>
        </w:rPr>
        <w:t xml:space="preserve">овет депутатов МО </w:t>
      </w:r>
      <w:r w:rsidR="00FF5612">
        <w:rPr>
          <w:b/>
          <w:sz w:val="28"/>
          <w:szCs w:val="28"/>
          <w:lang w:val="ru-RU"/>
        </w:rPr>
        <w:t>Таиц</w:t>
      </w:r>
      <w:r w:rsidR="00BE7138" w:rsidRPr="006C0E95">
        <w:rPr>
          <w:b/>
          <w:sz w:val="28"/>
          <w:szCs w:val="28"/>
          <w:lang w:val="ru-RU"/>
        </w:rPr>
        <w:t xml:space="preserve">кое </w:t>
      </w:r>
      <w:r w:rsidR="00FF5612">
        <w:rPr>
          <w:b/>
          <w:sz w:val="28"/>
          <w:szCs w:val="28"/>
          <w:lang w:val="ru-RU"/>
        </w:rPr>
        <w:t>город</w:t>
      </w:r>
      <w:r w:rsidR="00BE7138" w:rsidRPr="006C0E95">
        <w:rPr>
          <w:b/>
          <w:sz w:val="28"/>
          <w:szCs w:val="28"/>
          <w:lang w:val="ru-RU"/>
        </w:rPr>
        <w:t xml:space="preserve">ское поселение </w:t>
      </w:r>
    </w:p>
    <w:p w:rsidR="00BE7138" w:rsidRDefault="00BE7138" w:rsidP="00BE7138">
      <w:pPr>
        <w:jc w:val="center"/>
        <w:rPr>
          <w:b/>
          <w:sz w:val="28"/>
          <w:szCs w:val="28"/>
          <w:lang w:val="ru-RU"/>
        </w:rPr>
      </w:pPr>
      <w:r w:rsidRPr="006C0E95">
        <w:rPr>
          <w:b/>
          <w:sz w:val="28"/>
          <w:szCs w:val="28"/>
          <w:lang w:val="ru-RU"/>
        </w:rPr>
        <w:t>РЕШИЛ:</w:t>
      </w:r>
    </w:p>
    <w:p w:rsidR="00540CDA" w:rsidRPr="006C0E95" w:rsidRDefault="00540CDA" w:rsidP="00BE7138">
      <w:pPr>
        <w:jc w:val="center"/>
        <w:rPr>
          <w:b/>
          <w:sz w:val="28"/>
          <w:szCs w:val="28"/>
          <w:lang w:val="ru-RU"/>
        </w:rPr>
      </w:pPr>
    </w:p>
    <w:p w:rsidR="00BE7138" w:rsidRPr="006C0E95" w:rsidRDefault="00BE7138" w:rsidP="00BE7138">
      <w:pPr>
        <w:pStyle w:val="a5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Передать на период с 01.01.201</w:t>
      </w:r>
      <w:r w:rsidR="006063A3">
        <w:rPr>
          <w:rFonts w:ascii="Times New Roman" w:hAnsi="Times New Roman"/>
          <w:sz w:val="28"/>
          <w:szCs w:val="28"/>
        </w:rPr>
        <w:t>3</w:t>
      </w:r>
      <w:r w:rsidRPr="006C0E95">
        <w:rPr>
          <w:rFonts w:ascii="Times New Roman" w:hAnsi="Times New Roman"/>
          <w:sz w:val="28"/>
          <w:szCs w:val="28"/>
        </w:rPr>
        <w:t xml:space="preserve"> г. по 31.12.201</w:t>
      </w:r>
      <w:r w:rsidR="006063A3">
        <w:rPr>
          <w:rFonts w:ascii="Times New Roman" w:hAnsi="Times New Roman"/>
          <w:sz w:val="28"/>
          <w:szCs w:val="28"/>
        </w:rPr>
        <w:t>3</w:t>
      </w:r>
      <w:r w:rsidRPr="006C0E9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E95">
        <w:rPr>
          <w:rFonts w:ascii="Times New Roman" w:hAnsi="Times New Roman"/>
          <w:sz w:val="28"/>
          <w:szCs w:val="28"/>
        </w:rPr>
        <w:t>Контрольно-счетной палате Гатчинского муниципального района следующие полномочия</w:t>
      </w:r>
      <w:r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образования </w:t>
      </w:r>
      <w:r w:rsidR="007C66F0">
        <w:rPr>
          <w:rFonts w:ascii="Times New Roman" w:hAnsi="Times New Roman"/>
          <w:sz w:val="28"/>
          <w:szCs w:val="28"/>
        </w:rPr>
        <w:t>Таицк</w:t>
      </w:r>
      <w:r>
        <w:rPr>
          <w:rFonts w:ascii="Times New Roman" w:hAnsi="Times New Roman"/>
          <w:sz w:val="28"/>
          <w:szCs w:val="28"/>
        </w:rPr>
        <w:t xml:space="preserve">ое </w:t>
      </w:r>
      <w:r w:rsidR="007C66F0">
        <w:rPr>
          <w:rFonts w:ascii="Times New Roman" w:hAnsi="Times New Roman"/>
          <w:sz w:val="28"/>
          <w:szCs w:val="28"/>
        </w:rPr>
        <w:t>городс</w:t>
      </w:r>
      <w:r>
        <w:rPr>
          <w:rFonts w:ascii="Times New Roman" w:hAnsi="Times New Roman"/>
          <w:sz w:val="28"/>
          <w:szCs w:val="28"/>
        </w:rPr>
        <w:t>кое поселение Гатчинского муниципального района Ленинградской области</w:t>
      </w:r>
      <w:r w:rsidRPr="006C0E95">
        <w:rPr>
          <w:rFonts w:ascii="Times New Roman" w:hAnsi="Times New Roman"/>
          <w:sz w:val="28"/>
          <w:szCs w:val="28"/>
        </w:rPr>
        <w:t>:</w:t>
      </w:r>
    </w:p>
    <w:p w:rsidR="00BE7138" w:rsidRPr="006C0E95" w:rsidRDefault="00BE7138" w:rsidP="00BE7138">
      <w:pPr>
        <w:pStyle w:val="a5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1) контроль за исполнением местного бюджета;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2) экспертиза проектов местного бюджета;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3) внешняя проверка годового отчета об исполнении местного бюджета;</w:t>
      </w:r>
    </w:p>
    <w:p w:rsidR="00BE7138" w:rsidRPr="006C0E95" w:rsidRDefault="00BE7138" w:rsidP="00BE7138">
      <w:pPr>
        <w:pStyle w:val="a5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E95">
        <w:rPr>
          <w:rFonts w:ascii="Times New Roman" w:hAnsi="Times New Roman"/>
          <w:sz w:val="28"/>
          <w:szCs w:val="28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7" w:history="1">
        <w:r w:rsidRPr="006C0E9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C0E9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BE7138" w:rsidRPr="006C0E95" w:rsidRDefault="00BE7138" w:rsidP="00BE7138">
      <w:pPr>
        <w:pStyle w:val="a5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</w:t>
      </w:r>
      <w:r w:rsidRPr="006C0E95">
        <w:rPr>
          <w:sz w:val="28"/>
          <w:szCs w:val="28"/>
          <w:lang w:val="ru-RU"/>
        </w:rPr>
        <w:lastRenderedPageBreak/>
        <w:t>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7)</w:t>
      </w:r>
      <w:r>
        <w:rPr>
          <w:sz w:val="28"/>
          <w:szCs w:val="28"/>
          <w:lang w:val="ru-RU"/>
        </w:rPr>
        <w:t xml:space="preserve"> </w:t>
      </w:r>
      <w:r w:rsidRPr="006C0E95">
        <w:rPr>
          <w:sz w:val="28"/>
          <w:szCs w:val="28"/>
          <w:lang w:val="ru-RU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BE7138" w:rsidRPr="006C0E95" w:rsidRDefault="00BE7138" w:rsidP="00BE7138">
      <w:pPr>
        <w:ind w:left="540" w:hanging="360"/>
        <w:jc w:val="both"/>
        <w:outlineLvl w:val="0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>
        <w:rPr>
          <w:sz w:val="28"/>
          <w:szCs w:val="28"/>
          <w:lang w:val="ru-RU"/>
        </w:rPr>
        <w:t>совет депутатов</w:t>
      </w:r>
      <w:r w:rsidRPr="006C0E95">
        <w:rPr>
          <w:sz w:val="28"/>
          <w:szCs w:val="28"/>
          <w:lang w:val="ru-RU"/>
        </w:rPr>
        <w:t xml:space="preserve"> муниципального образования и главе муниципального образования;</w:t>
      </w:r>
    </w:p>
    <w:p w:rsidR="00BE7138" w:rsidRPr="006C0E95" w:rsidRDefault="00BE7138" w:rsidP="00BE7138">
      <w:pPr>
        <w:pStyle w:val="a5"/>
        <w:autoSpaceDE w:val="0"/>
        <w:autoSpaceDN w:val="0"/>
        <w:adjustRightInd w:val="0"/>
        <w:spacing w:after="0" w:line="240" w:lineRule="auto"/>
        <w:ind w:left="54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6C0E95">
        <w:rPr>
          <w:rFonts w:ascii="Times New Roman" w:hAnsi="Times New Roman"/>
          <w:sz w:val="28"/>
          <w:szCs w:val="28"/>
        </w:rPr>
        <w:t>10) участие в пределах полномочий в мероприятиях, направленных на противодействие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BE7138" w:rsidRPr="00547115" w:rsidRDefault="00BE7138" w:rsidP="00BE713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BE7138">
        <w:rPr>
          <w:sz w:val="28"/>
          <w:szCs w:val="28"/>
          <w:lang w:val="ru-RU"/>
        </w:rPr>
        <w:t xml:space="preserve">2. Поручить </w:t>
      </w:r>
      <w:r w:rsidR="00B7574D">
        <w:rPr>
          <w:sz w:val="28"/>
          <w:szCs w:val="28"/>
          <w:lang w:val="ru-RU"/>
        </w:rPr>
        <w:t>г</w:t>
      </w:r>
      <w:r w:rsidRPr="00BE7138">
        <w:rPr>
          <w:sz w:val="28"/>
          <w:szCs w:val="28"/>
          <w:lang w:val="ru-RU"/>
        </w:rPr>
        <w:t xml:space="preserve">лаве муниципального образования </w:t>
      </w:r>
      <w:r w:rsidR="007C66F0">
        <w:rPr>
          <w:sz w:val="28"/>
          <w:szCs w:val="28"/>
          <w:lang w:val="ru-RU"/>
        </w:rPr>
        <w:t>Таицк</w:t>
      </w:r>
      <w:r w:rsidRPr="00BE7138">
        <w:rPr>
          <w:sz w:val="28"/>
          <w:szCs w:val="28"/>
          <w:lang w:val="ru-RU"/>
        </w:rPr>
        <w:t xml:space="preserve">ое </w:t>
      </w:r>
      <w:r w:rsidR="007C66F0">
        <w:rPr>
          <w:sz w:val="28"/>
          <w:szCs w:val="28"/>
          <w:lang w:val="ru-RU"/>
        </w:rPr>
        <w:t>городс</w:t>
      </w:r>
      <w:r w:rsidRPr="00BE7138">
        <w:rPr>
          <w:sz w:val="28"/>
          <w:szCs w:val="28"/>
          <w:lang w:val="ru-RU"/>
        </w:rPr>
        <w:t xml:space="preserve">кое поселение Гатчинского муниципального района Ленинградской области заключить Соглашение по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контроля.  </w:t>
      </w:r>
    </w:p>
    <w:p w:rsidR="00BE7138" w:rsidRPr="00547115" w:rsidRDefault="00BE7138" w:rsidP="00BE713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547115">
        <w:rPr>
          <w:sz w:val="28"/>
          <w:szCs w:val="28"/>
          <w:lang w:val="ru-RU"/>
        </w:rPr>
        <w:t xml:space="preserve">3. Утвердить методику расчета определения субвенции передаваемой для обеспечения осуществления полномочия согласно </w:t>
      </w:r>
      <w:r w:rsidR="006063A3">
        <w:rPr>
          <w:sz w:val="28"/>
          <w:szCs w:val="28"/>
          <w:lang w:val="ru-RU"/>
        </w:rPr>
        <w:t>П</w:t>
      </w:r>
      <w:r w:rsidRPr="00547115">
        <w:rPr>
          <w:sz w:val="28"/>
          <w:szCs w:val="28"/>
          <w:lang w:val="ru-RU"/>
        </w:rPr>
        <w:t>риложению №1.</w:t>
      </w:r>
    </w:p>
    <w:p w:rsidR="00BE7138" w:rsidRPr="00547115" w:rsidRDefault="00BE7138" w:rsidP="00BE713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 w:rsidRPr="00547115">
        <w:rPr>
          <w:sz w:val="28"/>
          <w:szCs w:val="28"/>
          <w:lang w:val="ru-RU"/>
        </w:rPr>
        <w:t xml:space="preserve">4. Утвердить объем субвенции в сумме </w:t>
      </w:r>
      <w:r w:rsidR="007C66F0">
        <w:rPr>
          <w:b/>
          <w:sz w:val="28"/>
          <w:szCs w:val="28"/>
          <w:lang w:val="ru-RU"/>
        </w:rPr>
        <w:t>72</w:t>
      </w:r>
      <w:r w:rsidRPr="00547115">
        <w:rPr>
          <w:b/>
          <w:sz w:val="28"/>
          <w:szCs w:val="28"/>
          <w:lang w:val="ru-RU"/>
        </w:rPr>
        <w:t>,0 тыс. рублей</w:t>
      </w:r>
      <w:r w:rsidRPr="00547115">
        <w:rPr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полномочия и включить в проект местного бюджета на очередной 201</w:t>
      </w:r>
      <w:r w:rsidR="006063A3">
        <w:rPr>
          <w:sz w:val="28"/>
          <w:szCs w:val="28"/>
          <w:lang w:val="ru-RU"/>
        </w:rPr>
        <w:t>3</w:t>
      </w:r>
      <w:r w:rsidRPr="00547115">
        <w:rPr>
          <w:sz w:val="28"/>
          <w:szCs w:val="28"/>
          <w:lang w:val="ru-RU"/>
        </w:rPr>
        <w:t xml:space="preserve"> финансовый год указанную сумму.</w:t>
      </w:r>
    </w:p>
    <w:p w:rsidR="00BE7138" w:rsidRPr="00547115" w:rsidRDefault="00BE7138" w:rsidP="00BE7138">
      <w:pPr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547115">
        <w:rPr>
          <w:sz w:val="28"/>
          <w:szCs w:val="28"/>
          <w:lang w:val="ru-RU"/>
        </w:rPr>
        <w:t>Решение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поселения.</w:t>
      </w:r>
    </w:p>
    <w:p w:rsidR="00BE7138" w:rsidRDefault="00BE7138" w:rsidP="00BE7138">
      <w:pPr>
        <w:jc w:val="both"/>
        <w:rPr>
          <w:sz w:val="16"/>
          <w:szCs w:val="16"/>
          <w:lang w:val="ru-RU"/>
        </w:rPr>
      </w:pPr>
    </w:p>
    <w:p w:rsidR="00BE7138" w:rsidRDefault="00BE7138" w:rsidP="00BE7138">
      <w:pPr>
        <w:jc w:val="both"/>
        <w:rPr>
          <w:sz w:val="16"/>
          <w:szCs w:val="16"/>
          <w:lang w:val="ru-RU"/>
        </w:rPr>
      </w:pPr>
    </w:p>
    <w:p w:rsidR="00BE7138" w:rsidRDefault="00BE7138" w:rsidP="00BE7138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BE7138" w:rsidRPr="006C0E95" w:rsidRDefault="00BE7138" w:rsidP="00BE7138">
      <w:pPr>
        <w:jc w:val="both"/>
        <w:rPr>
          <w:sz w:val="16"/>
          <w:szCs w:val="16"/>
          <w:lang w:val="ru-RU"/>
        </w:rPr>
      </w:pPr>
    </w:p>
    <w:p w:rsidR="0090212C" w:rsidRDefault="00BE7138" w:rsidP="00BE7138">
      <w:pPr>
        <w:jc w:val="both"/>
        <w:rPr>
          <w:sz w:val="28"/>
          <w:szCs w:val="28"/>
          <w:lang w:val="ru-RU"/>
        </w:rPr>
      </w:pPr>
      <w:r w:rsidRPr="006C0E95">
        <w:rPr>
          <w:sz w:val="28"/>
          <w:szCs w:val="28"/>
          <w:lang w:val="ru-RU"/>
        </w:rPr>
        <w:t>Глава муниципального образования</w:t>
      </w:r>
      <w:r w:rsidR="006063A3">
        <w:rPr>
          <w:sz w:val="28"/>
          <w:szCs w:val="28"/>
          <w:lang w:val="ru-RU"/>
        </w:rPr>
        <w:t xml:space="preserve"> </w:t>
      </w:r>
    </w:p>
    <w:p w:rsidR="00BE7138" w:rsidRDefault="0090212C" w:rsidP="00BE71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Таицкое городское поселение</w:t>
      </w:r>
      <w:r w:rsidR="006063A3">
        <w:rPr>
          <w:sz w:val="28"/>
          <w:szCs w:val="28"/>
          <w:lang w:val="ru-RU"/>
        </w:rPr>
        <w:t xml:space="preserve">            </w:t>
      </w:r>
      <w:r w:rsidR="006063A3">
        <w:rPr>
          <w:sz w:val="28"/>
          <w:szCs w:val="28"/>
          <w:lang w:val="ru-RU"/>
        </w:rPr>
        <w:tab/>
      </w:r>
      <w:r w:rsidR="006063A3">
        <w:rPr>
          <w:sz w:val="28"/>
          <w:szCs w:val="28"/>
          <w:lang w:val="ru-RU"/>
        </w:rPr>
        <w:tab/>
      </w:r>
      <w:r w:rsidR="006063A3">
        <w:rPr>
          <w:sz w:val="28"/>
          <w:szCs w:val="28"/>
          <w:lang w:val="ru-RU"/>
        </w:rPr>
        <w:tab/>
      </w:r>
      <w:r w:rsidR="006063A3">
        <w:rPr>
          <w:sz w:val="28"/>
          <w:szCs w:val="28"/>
          <w:lang w:val="ru-RU"/>
        </w:rPr>
        <w:tab/>
        <w:t xml:space="preserve"> </w:t>
      </w:r>
      <w:r w:rsidR="00BE7138" w:rsidRPr="006C0E95">
        <w:rPr>
          <w:sz w:val="28"/>
          <w:szCs w:val="28"/>
          <w:lang w:val="ru-RU"/>
        </w:rPr>
        <w:t>В.</w:t>
      </w:r>
      <w:r w:rsidR="007C66F0">
        <w:rPr>
          <w:sz w:val="28"/>
          <w:szCs w:val="28"/>
          <w:lang w:val="ru-RU"/>
        </w:rPr>
        <w:t>А</w:t>
      </w:r>
      <w:r w:rsidR="00BE7138" w:rsidRPr="006C0E95">
        <w:rPr>
          <w:sz w:val="28"/>
          <w:szCs w:val="28"/>
          <w:lang w:val="ru-RU"/>
        </w:rPr>
        <w:t>.</w:t>
      </w:r>
      <w:r w:rsidR="006063A3">
        <w:rPr>
          <w:sz w:val="28"/>
          <w:szCs w:val="28"/>
          <w:lang w:val="ru-RU"/>
        </w:rPr>
        <w:t xml:space="preserve"> </w:t>
      </w:r>
      <w:r w:rsidR="007C66F0">
        <w:rPr>
          <w:sz w:val="28"/>
          <w:szCs w:val="28"/>
          <w:lang w:val="ru-RU"/>
        </w:rPr>
        <w:t>Иванов</w:t>
      </w: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Default="00BE7138" w:rsidP="00BE7138">
      <w:pPr>
        <w:jc w:val="both"/>
        <w:rPr>
          <w:sz w:val="28"/>
          <w:szCs w:val="28"/>
          <w:lang w:val="ru-RU"/>
        </w:rPr>
      </w:pPr>
    </w:p>
    <w:p w:rsidR="00BE7138" w:rsidRPr="006063A3" w:rsidRDefault="00BE7138" w:rsidP="00BE7138">
      <w:pPr>
        <w:ind w:left="5220"/>
        <w:jc w:val="center"/>
        <w:rPr>
          <w:sz w:val="28"/>
          <w:szCs w:val="28"/>
          <w:lang w:val="ru-RU"/>
        </w:rPr>
      </w:pPr>
      <w:r w:rsidRPr="006063A3">
        <w:rPr>
          <w:sz w:val="28"/>
          <w:szCs w:val="28"/>
          <w:lang w:val="ru-RU"/>
        </w:rPr>
        <w:t xml:space="preserve">Приложение №1 </w:t>
      </w:r>
    </w:p>
    <w:p w:rsidR="00BE7138" w:rsidRPr="006063A3" w:rsidRDefault="00BE7138" w:rsidP="00BE7138">
      <w:pPr>
        <w:ind w:left="5220"/>
        <w:jc w:val="center"/>
        <w:rPr>
          <w:sz w:val="28"/>
          <w:szCs w:val="28"/>
          <w:lang w:val="ru-RU"/>
        </w:rPr>
      </w:pPr>
      <w:r w:rsidRPr="006063A3">
        <w:rPr>
          <w:sz w:val="28"/>
          <w:szCs w:val="28"/>
          <w:lang w:val="ru-RU"/>
        </w:rPr>
        <w:lastRenderedPageBreak/>
        <w:t xml:space="preserve">к решению </w:t>
      </w:r>
      <w:r w:rsidR="00E44A9C">
        <w:rPr>
          <w:sz w:val="28"/>
          <w:szCs w:val="28"/>
          <w:lang w:val="ru-RU"/>
        </w:rPr>
        <w:t>с</w:t>
      </w:r>
      <w:r w:rsidRPr="006063A3">
        <w:rPr>
          <w:sz w:val="28"/>
          <w:szCs w:val="28"/>
          <w:lang w:val="ru-RU"/>
        </w:rPr>
        <w:t>овета депутатов МО</w:t>
      </w:r>
    </w:p>
    <w:p w:rsidR="00BE7138" w:rsidRPr="006063A3" w:rsidRDefault="00E44A9C" w:rsidP="00BE7138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Таиц</w:t>
      </w:r>
      <w:r w:rsidR="00BE7138" w:rsidRPr="006063A3">
        <w:rPr>
          <w:sz w:val="28"/>
          <w:szCs w:val="28"/>
          <w:lang w:val="ru-RU"/>
        </w:rPr>
        <w:t xml:space="preserve">кое  </w:t>
      </w:r>
      <w:r>
        <w:rPr>
          <w:sz w:val="28"/>
          <w:szCs w:val="28"/>
          <w:lang w:val="ru-RU"/>
        </w:rPr>
        <w:t>город</w:t>
      </w:r>
      <w:r w:rsidR="00BE7138" w:rsidRPr="006063A3">
        <w:rPr>
          <w:sz w:val="28"/>
          <w:szCs w:val="28"/>
          <w:lang w:val="ru-RU"/>
        </w:rPr>
        <w:t>ское  поселение</w:t>
      </w:r>
    </w:p>
    <w:p w:rsidR="00BE7138" w:rsidRPr="006063A3" w:rsidRDefault="00BE7138" w:rsidP="00BE7138">
      <w:pPr>
        <w:ind w:left="5220"/>
        <w:jc w:val="center"/>
        <w:rPr>
          <w:sz w:val="28"/>
          <w:szCs w:val="28"/>
          <w:lang w:val="ru-RU"/>
        </w:rPr>
      </w:pPr>
      <w:r w:rsidRPr="006063A3">
        <w:rPr>
          <w:sz w:val="28"/>
          <w:szCs w:val="28"/>
          <w:lang w:val="ru-RU"/>
        </w:rPr>
        <w:t xml:space="preserve">№ </w:t>
      </w:r>
      <w:r w:rsidR="00246EFC">
        <w:rPr>
          <w:sz w:val="28"/>
          <w:szCs w:val="28"/>
          <w:lang w:val="ru-RU"/>
        </w:rPr>
        <w:t>60</w:t>
      </w:r>
      <w:r w:rsidR="00E44A9C">
        <w:rPr>
          <w:sz w:val="28"/>
          <w:szCs w:val="28"/>
          <w:lang w:val="ru-RU"/>
        </w:rPr>
        <w:t xml:space="preserve"> </w:t>
      </w:r>
      <w:r w:rsidRPr="006063A3">
        <w:rPr>
          <w:sz w:val="28"/>
          <w:szCs w:val="28"/>
          <w:lang w:val="ru-RU"/>
        </w:rPr>
        <w:t xml:space="preserve"> от </w:t>
      </w:r>
      <w:r w:rsidR="00971DA2">
        <w:rPr>
          <w:sz w:val="28"/>
          <w:szCs w:val="28"/>
          <w:lang w:val="ru-RU"/>
        </w:rPr>
        <w:t>1</w:t>
      </w:r>
      <w:r w:rsidR="00E44A9C">
        <w:rPr>
          <w:sz w:val="28"/>
          <w:szCs w:val="28"/>
          <w:lang w:val="ru-RU"/>
        </w:rPr>
        <w:t>3</w:t>
      </w:r>
      <w:r w:rsidRPr="006063A3">
        <w:rPr>
          <w:sz w:val="28"/>
          <w:szCs w:val="28"/>
          <w:lang w:val="ru-RU"/>
        </w:rPr>
        <w:t>.12.201</w:t>
      </w:r>
      <w:r w:rsidR="006063A3">
        <w:rPr>
          <w:sz w:val="28"/>
          <w:szCs w:val="28"/>
          <w:lang w:val="ru-RU"/>
        </w:rPr>
        <w:t>2</w:t>
      </w:r>
      <w:r w:rsidRPr="006063A3">
        <w:rPr>
          <w:sz w:val="28"/>
          <w:szCs w:val="28"/>
          <w:lang w:val="ru-RU"/>
        </w:rPr>
        <w:t xml:space="preserve"> г.</w:t>
      </w:r>
    </w:p>
    <w:p w:rsidR="00BE7138" w:rsidRPr="006063A3" w:rsidRDefault="00BE7138" w:rsidP="00BE7138">
      <w:pPr>
        <w:jc w:val="center"/>
        <w:rPr>
          <w:sz w:val="28"/>
          <w:szCs w:val="28"/>
          <w:lang w:val="ru-RU"/>
        </w:rPr>
      </w:pPr>
    </w:p>
    <w:p w:rsidR="00BE7138" w:rsidRPr="006063A3" w:rsidRDefault="00BE7138" w:rsidP="00BE7138">
      <w:pPr>
        <w:jc w:val="center"/>
        <w:rPr>
          <w:b/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>Методика</w:t>
      </w:r>
    </w:p>
    <w:p w:rsidR="00BE7138" w:rsidRPr="006063A3" w:rsidRDefault="00BE7138" w:rsidP="00BE7138">
      <w:pPr>
        <w:jc w:val="center"/>
        <w:rPr>
          <w:b/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 xml:space="preserve">расчета определения объема субвенции передаваемой в бюджет </w:t>
      </w:r>
    </w:p>
    <w:p w:rsidR="00BE7138" w:rsidRPr="006063A3" w:rsidRDefault="00BE7138" w:rsidP="00BE7138">
      <w:pPr>
        <w:jc w:val="center"/>
        <w:rPr>
          <w:b/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 xml:space="preserve">Гатчинского муниципального района для обеспечения осуществления полномочия контрольно-счетного органа поселения по осуществлению </w:t>
      </w:r>
    </w:p>
    <w:p w:rsidR="00BE7138" w:rsidRPr="006063A3" w:rsidRDefault="00BE7138" w:rsidP="00BE7138">
      <w:pPr>
        <w:jc w:val="center"/>
        <w:rPr>
          <w:b/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>внешнего муниципального финансового контроля</w:t>
      </w:r>
    </w:p>
    <w:p w:rsidR="00BE7138" w:rsidRPr="006063A3" w:rsidRDefault="00BE7138" w:rsidP="00BE7138">
      <w:pPr>
        <w:ind w:firstLine="540"/>
        <w:jc w:val="center"/>
        <w:rPr>
          <w:b/>
          <w:sz w:val="28"/>
          <w:szCs w:val="28"/>
          <w:lang w:val="ru-RU"/>
        </w:rPr>
      </w:pPr>
    </w:p>
    <w:p w:rsidR="00BE7138" w:rsidRPr="006063A3" w:rsidRDefault="00BE7138" w:rsidP="00BE7138">
      <w:pPr>
        <w:ind w:firstLine="540"/>
        <w:jc w:val="both"/>
        <w:rPr>
          <w:sz w:val="28"/>
          <w:szCs w:val="28"/>
          <w:lang w:val="ru-RU"/>
        </w:rPr>
      </w:pPr>
      <w:r w:rsidRPr="006063A3">
        <w:rPr>
          <w:sz w:val="28"/>
          <w:szCs w:val="28"/>
          <w:lang w:val="ru-RU"/>
        </w:rPr>
        <w:t xml:space="preserve">Настоящая Методика определяет расчет объема субвенций, предоставляемых бюджету Гатчинского муниципального района из местного бюджета муниципального образования </w:t>
      </w:r>
      <w:r w:rsidR="00F32598">
        <w:rPr>
          <w:sz w:val="28"/>
          <w:szCs w:val="28"/>
          <w:lang w:val="ru-RU"/>
        </w:rPr>
        <w:t>Таиц</w:t>
      </w:r>
      <w:r w:rsidRPr="006063A3">
        <w:rPr>
          <w:sz w:val="28"/>
          <w:szCs w:val="28"/>
          <w:lang w:val="ru-RU"/>
        </w:rPr>
        <w:t xml:space="preserve">кое </w:t>
      </w:r>
      <w:r w:rsidR="00F32598">
        <w:rPr>
          <w:sz w:val="28"/>
          <w:szCs w:val="28"/>
          <w:lang w:val="ru-RU"/>
        </w:rPr>
        <w:t>город</w:t>
      </w:r>
      <w:r w:rsidRPr="006063A3">
        <w:rPr>
          <w:sz w:val="28"/>
          <w:szCs w:val="28"/>
          <w:lang w:val="ru-RU"/>
        </w:rPr>
        <w:t xml:space="preserve">ское поселение Гатчинского муниципального района Ленинградской области на осуществление переданного полномочия по внешнему муниципальному финансовому контролю. </w:t>
      </w:r>
    </w:p>
    <w:p w:rsidR="00BE7138" w:rsidRPr="006063A3" w:rsidRDefault="00BE7138" w:rsidP="00BE7138">
      <w:pPr>
        <w:ind w:firstLine="540"/>
        <w:jc w:val="both"/>
        <w:rPr>
          <w:sz w:val="28"/>
          <w:szCs w:val="28"/>
          <w:lang w:val="ru-RU"/>
        </w:rPr>
      </w:pPr>
      <w:r w:rsidRPr="006063A3">
        <w:rPr>
          <w:sz w:val="28"/>
          <w:szCs w:val="28"/>
          <w:lang w:val="ru-RU"/>
        </w:rPr>
        <w:t>Расчет субвенций  осуществляется в рублях Российской Федерации.</w:t>
      </w:r>
    </w:p>
    <w:p w:rsidR="00BE7138" w:rsidRPr="006063A3" w:rsidRDefault="00BE7138" w:rsidP="00BE7138">
      <w:pPr>
        <w:ind w:firstLine="540"/>
        <w:jc w:val="both"/>
        <w:rPr>
          <w:sz w:val="28"/>
          <w:szCs w:val="28"/>
          <w:lang w:val="ru-RU"/>
        </w:rPr>
      </w:pPr>
      <w:r w:rsidRPr="006063A3">
        <w:rPr>
          <w:sz w:val="28"/>
          <w:szCs w:val="28"/>
          <w:lang w:val="ru-RU"/>
        </w:rPr>
        <w:t>Размер субвенций  рассчитывается по формуле:</w:t>
      </w:r>
    </w:p>
    <w:p w:rsidR="00BE7138" w:rsidRPr="006063A3" w:rsidRDefault="00BE7138" w:rsidP="00BE7138">
      <w:pPr>
        <w:ind w:firstLine="540"/>
        <w:jc w:val="both"/>
        <w:rPr>
          <w:b/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 xml:space="preserve">Н = (Фот + М) х Д/100, </w:t>
      </w:r>
    </w:p>
    <w:p w:rsidR="00BE7138" w:rsidRPr="006063A3" w:rsidRDefault="00BE7138" w:rsidP="00BE7138">
      <w:pPr>
        <w:ind w:firstLine="540"/>
        <w:jc w:val="both"/>
        <w:rPr>
          <w:sz w:val="28"/>
          <w:szCs w:val="28"/>
          <w:lang w:val="ru-RU"/>
        </w:rPr>
      </w:pPr>
      <w:r w:rsidRPr="006063A3">
        <w:rPr>
          <w:sz w:val="28"/>
          <w:szCs w:val="28"/>
          <w:lang w:val="ru-RU"/>
        </w:rPr>
        <w:t>Где :</w:t>
      </w:r>
    </w:p>
    <w:p w:rsidR="00BE7138" w:rsidRPr="006063A3" w:rsidRDefault="00BE7138" w:rsidP="00BE7138">
      <w:pPr>
        <w:ind w:firstLine="540"/>
        <w:jc w:val="both"/>
        <w:rPr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 xml:space="preserve">Н </w:t>
      </w:r>
      <w:r w:rsidRPr="006063A3">
        <w:rPr>
          <w:sz w:val="28"/>
          <w:szCs w:val="28"/>
          <w:lang w:val="ru-RU"/>
        </w:rPr>
        <w:t xml:space="preserve">– годовой объем финансовых средств на осуществление переданных полномочий по внешнему муниципальному финансовому контролю. </w:t>
      </w:r>
    </w:p>
    <w:p w:rsidR="00BE7138" w:rsidRPr="006063A3" w:rsidRDefault="00BE7138" w:rsidP="00BE7138">
      <w:pPr>
        <w:ind w:firstLine="540"/>
        <w:jc w:val="both"/>
        <w:rPr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>Фот</w:t>
      </w:r>
      <w:r w:rsidRPr="006063A3">
        <w:rPr>
          <w:sz w:val="28"/>
          <w:szCs w:val="28"/>
          <w:lang w:val="ru-RU"/>
        </w:rPr>
        <w:t xml:space="preserve"> – годовой фонд оплаты труда 3 ставок главных специалистов-инспекторов  Контрольно-счетной палаты Гатчинского муниципального района </w:t>
      </w:r>
    </w:p>
    <w:p w:rsidR="00BE7138" w:rsidRPr="006063A3" w:rsidRDefault="00BE7138" w:rsidP="00BE7138">
      <w:pPr>
        <w:ind w:firstLine="540"/>
        <w:jc w:val="both"/>
        <w:rPr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 xml:space="preserve">М </w:t>
      </w:r>
      <w:r w:rsidRPr="006063A3">
        <w:rPr>
          <w:sz w:val="28"/>
          <w:szCs w:val="28"/>
          <w:lang w:val="ru-RU"/>
        </w:rPr>
        <w:t>–</w:t>
      </w:r>
      <w:r w:rsidRPr="006063A3">
        <w:rPr>
          <w:b/>
          <w:sz w:val="28"/>
          <w:szCs w:val="28"/>
          <w:lang w:val="ru-RU"/>
        </w:rPr>
        <w:t xml:space="preserve"> </w:t>
      </w:r>
      <w:r w:rsidRPr="006063A3">
        <w:rPr>
          <w:sz w:val="28"/>
          <w:szCs w:val="28"/>
          <w:lang w:val="ru-RU"/>
        </w:rPr>
        <w:t>расходы на материально-техническое обеспечение. В том числе расходы на канцелярские товары, закупку компьютеров и мебели, обслуживание  вычислительной техники, оплата услуг связи, командировочные (в объеме 10 %  от Фот).</w:t>
      </w:r>
    </w:p>
    <w:p w:rsidR="00BE7138" w:rsidRPr="006063A3" w:rsidRDefault="00BE7138" w:rsidP="00BE7138">
      <w:pPr>
        <w:ind w:firstLine="540"/>
        <w:jc w:val="both"/>
        <w:rPr>
          <w:sz w:val="28"/>
          <w:szCs w:val="28"/>
          <w:lang w:val="ru-RU"/>
        </w:rPr>
      </w:pPr>
      <w:r w:rsidRPr="006063A3">
        <w:rPr>
          <w:b/>
          <w:sz w:val="28"/>
          <w:szCs w:val="28"/>
          <w:lang w:val="ru-RU"/>
        </w:rPr>
        <w:t xml:space="preserve">Д </w:t>
      </w:r>
      <w:r w:rsidRPr="006063A3">
        <w:rPr>
          <w:sz w:val="28"/>
          <w:szCs w:val="28"/>
          <w:lang w:val="ru-RU"/>
        </w:rPr>
        <w:t>– доля местного бюджета поселения в консолидированном бюджете Гатчинского муниципального района в процентах.</w:t>
      </w:r>
    </w:p>
    <w:p w:rsidR="00BE7138" w:rsidRPr="006063A3" w:rsidRDefault="00BE7138" w:rsidP="00BE7138">
      <w:pPr>
        <w:autoSpaceDE w:val="0"/>
        <w:autoSpaceDN w:val="0"/>
        <w:adjustRightInd w:val="0"/>
        <w:ind w:firstLine="720"/>
        <w:rPr>
          <w:sz w:val="28"/>
          <w:szCs w:val="28"/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3240"/>
        <w:gridCol w:w="2520"/>
      </w:tblGrid>
      <w:tr w:rsidR="00BE7138" w:rsidRPr="006063A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E7138" w:rsidRPr="006063A3" w:rsidRDefault="00BE7138" w:rsidP="00BE7138">
            <w:pPr>
              <w:autoSpaceDE w:val="0"/>
              <w:autoSpaceDN w:val="0"/>
              <w:adjustRightInd w:val="0"/>
              <w:ind w:left="108" w:right="108"/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BE7138" w:rsidRPr="006063A3" w:rsidRDefault="00BE7138" w:rsidP="00BE7138">
            <w:pPr>
              <w:autoSpaceDE w:val="0"/>
              <w:autoSpaceDN w:val="0"/>
              <w:adjustRightInd w:val="0"/>
              <w:ind w:left="108" w:right="108"/>
              <w:jc w:val="center"/>
              <w:rPr>
                <w:bCs/>
                <w:sz w:val="28"/>
                <w:szCs w:val="28"/>
              </w:rPr>
            </w:pPr>
            <w:r w:rsidRPr="006063A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880" w:type="dxa"/>
            <w:shd w:val="clear" w:color="auto" w:fill="auto"/>
          </w:tcPr>
          <w:p w:rsidR="00BE7138" w:rsidRPr="000A2636" w:rsidRDefault="00BE7138" w:rsidP="00BE7138">
            <w:pPr>
              <w:autoSpaceDE w:val="0"/>
              <w:autoSpaceDN w:val="0"/>
              <w:adjustRightInd w:val="0"/>
              <w:ind w:left="15"/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 w:rsidRPr="000A2636">
              <w:rPr>
                <w:bCs/>
                <w:i/>
                <w:sz w:val="28"/>
                <w:szCs w:val="28"/>
                <w:lang w:val="ru-RU"/>
              </w:rPr>
              <w:t>Объем собственных доходов местного бюджета за 201</w:t>
            </w:r>
            <w:r w:rsidR="004A1318" w:rsidRPr="000A2636">
              <w:rPr>
                <w:bCs/>
                <w:i/>
                <w:sz w:val="28"/>
                <w:szCs w:val="28"/>
                <w:lang w:val="ru-RU"/>
              </w:rPr>
              <w:t>2</w:t>
            </w:r>
            <w:r w:rsidRPr="000A2636">
              <w:rPr>
                <w:bCs/>
                <w:i/>
                <w:sz w:val="28"/>
                <w:szCs w:val="28"/>
                <w:lang w:val="ru-RU"/>
              </w:rPr>
              <w:t xml:space="preserve"> г. (тыс.руб.)</w:t>
            </w:r>
          </w:p>
        </w:tc>
        <w:tc>
          <w:tcPr>
            <w:tcW w:w="3240" w:type="dxa"/>
          </w:tcPr>
          <w:p w:rsidR="00BE7138" w:rsidRPr="008956A7" w:rsidRDefault="00BE7138" w:rsidP="00BE7138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 w:rsidRPr="008956A7">
              <w:rPr>
                <w:bCs/>
                <w:i/>
                <w:sz w:val="28"/>
                <w:szCs w:val="28"/>
                <w:lang w:val="ru-RU"/>
              </w:rPr>
              <w:t>Доля местного бюджета от суммы консолидированого бюджета (в %)</w:t>
            </w:r>
          </w:p>
        </w:tc>
        <w:tc>
          <w:tcPr>
            <w:tcW w:w="2520" w:type="dxa"/>
          </w:tcPr>
          <w:p w:rsidR="00BE7138" w:rsidRPr="006063A3" w:rsidRDefault="00BE7138" w:rsidP="00BE7138">
            <w:pPr>
              <w:autoSpaceDE w:val="0"/>
              <w:autoSpaceDN w:val="0"/>
              <w:adjustRightInd w:val="0"/>
              <w:ind w:left="-4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7138" w:rsidRPr="006063A3" w:rsidRDefault="00BE7138" w:rsidP="00BE7138">
            <w:pPr>
              <w:autoSpaceDE w:val="0"/>
              <w:autoSpaceDN w:val="0"/>
              <w:adjustRightInd w:val="0"/>
              <w:ind w:left="-4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063A3">
              <w:rPr>
                <w:b/>
                <w:bCs/>
                <w:sz w:val="28"/>
                <w:szCs w:val="28"/>
                <w:lang w:val="ru-RU"/>
              </w:rPr>
              <w:t>Сумма субвенции</w:t>
            </w:r>
          </w:p>
          <w:p w:rsidR="00BE7138" w:rsidRPr="006063A3" w:rsidRDefault="00BE7138" w:rsidP="00BE7138">
            <w:pPr>
              <w:autoSpaceDE w:val="0"/>
              <w:autoSpaceDN w:val="0"/>
              <w:adjustRightInd w:val="0"/>
              <w:ind w:left="-4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063A3">
              <w:rPr>
                <w:b/>
                <w:bCs/>
                <w:sz w:val="28"/>
                <w:szCs w:val="28"/>
                <w:lang w:val="ru-RU"/>
              </w:rPr>
              <w:t>(тыс.руб.)</w:t>
            </w:r>
          </w:p>
          <w:p w:rsidR="00BE7138" w:rsidRPr="006063A3" w:rsidRDefault="00BE7138" w:rsidP="00BE7138">
            <w:pPr>
              <w:autoSpaceDE w:val="0"/>
              <w:autoSpaceDN w:val="0"/>
              <w:adjustRightInd w:val="0"/>
              <w:ind w:left="-4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063A3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BE7138" w:rsidRPr="006063A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E7138" w:rsidRPr="006063A3" w:rsidRDefault="00BE7138" w:rsidP="00BE7138">
            <w:pPr>
              <w:autoSpaceDE w:val="0"/>
              <w:autoSpaceDN w:val="0"/>
              <w:adjustRightInd w:val="0"/>
              <w:ind w:left="108" w:right="108"/>
              <w:jc w:val="center"/>
              <w:rPr>
                <w:bCs/>
                <w:sz w:val="28"/>
                <w:szCs w:val="28"/>
                <w:lang w:val="ru-RU"/>
              </w:rPr>
            </w:pPr>
            <w:r w:rsidRPr="006063A3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BE7138" w:rsidRPr="000A2636" w:rsidRDefault="00BE7138" w:rsidP="00BE7138">
            <w:pPr>
              <w:autoSpaceDE w:val="0"/>
              <w:autoSpaceDN w:val="0"/>
              <w:adjustRightInd w:val="0"/>
              <w:ind w:left="15"/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 w:rsidRPr="000A2636">
              <w:rPr>
                <w:bCs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3240" w:type="dxa"/>
          </w:tcPr>
          <w:p w:rsidR="00BE7138" w:rsidRPr="008956A7" w:rsidRDefault="00BE7138" w:rsidP="00BE7138">
            <w:pPr>
              <w:autoSpaceDE w:val="0"/>
              <w:autoSpaceDN w:val="0"/>
              <w:adjustRightInd w:val="0"/>
              <w:ind w:left="108" w:right="108"/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 w:rsidRPr="008956A7">
              <w:rPr>
                <w:bCs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2520" w:type="dxa"/>
          </w:tcPr>
          <w:p w:rsidR="00BE7138" w:rsidRPr="006063A3" w:rsidRDefault="00BE7138" w:rsidP="00BE7138">
            <w:pPr>
              <w:autoSpaceDE w:val="0"/>
              <w:autoSpaceDN w:val="0"/>
              <w:adjustRightInd w:val="0"/>
              <w:ind w:left="108" w:right="10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063A3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BE7138" w:rsidRPr="006063A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BE7138" w:rsidRPr="006063A3" w:rsidRDefault="00BE7138" w:rsidP="00BE7138">
            <w:pPr>
              <w:autoSpaceDE w:val="0"/>
              <w:autoSpaceDN w:val="0"/>
              <w:adjustRightInd w:val="0"/>
              <w:ind w:left="108"/>
              <w:jc w:val="center"/>
              <w:rPr>
                <w:sz w:val="28"/>
                <w:szCs w:val="28"/>
              </w:rPr>
            </w:pPr>
            <w:r w:rsidRPr="006063A3">
              <w:rPr>
                <w:sz w:val="28"/>
                <w:szCs w:val="28"/>
                <w:lang w:val="ru-RU"/>
              </w:rPr>
              <w:t>1</w:t>
            </w:r>
            <w:r w:rsidRPr="006063A3">
              <w:rPr>
                <w:sz w:val="28"/>
                <w:szCs w:val="28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BE7138" w:rsidRPr="000A2636" w:rsidRDefault="00BE7138" w:rsidP="00BE7138">
            <w:pPr>
              <w:autoSpaceDE w:val="0"/>
              <w:autoSpaceDN w:val="0"/>
              <w:adjustRightInd w:val="0"/>
              <w:ind w:left="15"/>
              <w:jc w:val="center"/>
              <w:rPr>
                <w:i/>
                <w:sz w:val="28"/>
                <w:szCs w:val="28"/>
                <w:lang w:val="ru-RU"/>
              </w:rPr>
            </w:pPr>
            <w:r w:rsidRPr="000A2636">
              <w:rPr>
                <w:i/>
                <w:sz w:val="28"/>
                <w:szCs w:val="28"/>
                <w:lang w:val="ru-RU"/>
              </w:rPr>
              <w:t>27 526,6</w:t>
            </w:r>
          </w:p>
        </w:tc>
        <w:tc>
          <w:tcPr>
            <w:tcW w:w="3240" w:type="dxa"/>
          </w:tcPr>
          <w:p w:rsidR="00BE7138" w:rsidRPr="008956A7" w:rsidRDefault="00BE7138" w:rsidP="00BE7138">
            <w:pPr>
              <w:autoSpaceDE w:val="0"/>
              <w:autoSpaceDN w:val="0"/>
              <w:adjustRightInd w:val="0"/>
              <w:ind w:left="108" w:right="108"/>
              <w:jc w:val="center"/>
              <w:rPr>
                <w:i/>
                <w:sz w:val="28"/>
                <w:szCs w:val="28"/>
                <w:lang w:val="ru-RU"/>
              </w:rPr>
            </w:pPr>
            <w:r w:rsidRPr="008956A7">
              <w:rPr>
                <w:i/>
                <w:sz w:val="28"/>
                <w:szCs w:val="28"/>
                <w:lang w:val="ru-RU"/>
              </w:rPr>
              <w:t>2,9</w:t>
            </w:r>
          </w:p>
        </w:tc>
        <w:tc>
          <w:tcPr>
            <w:tcW w:w="2520" w:type="dxa"/>
          </w:tcPr>
          <w:p w:rsidR="00BE7138" w:rsidRPr="006063A3" w:rsidRDefault="008956A7" w:rsidP="00BE7138">
            <w:pPr>
              <w:autoSpaceDE w:val="0"/>
              <w:autoSpaceDN w:val="0"/>
              <w:adjustRightInd w:val="0"/>
              <w:ind w:left="108" w:right="10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72</w:t>
            </w:r>
            <w:r w:rsidR="00BE7138" w:rsidRPr="006063A3">
              <w:rPr>
                <w:b/>
                <w:sz w:val="28"/>
                <w:szCs w:val="28"/>
                <w:lang w:val="ru-RU"/>
              </w:rPr>
              <w:t>,0</w:t>
            </w:r>
          </w:p>
        </w:tc>
      </w:tr>
    </w:tbl>
    <w:p w:rsidR="00BE7138" w:rsidRPr="006063A3" w:rsidRDefault="00BE7138" w:rsidP="00BE713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E7138" w:rsidRPr="006063A3" w:rsidRDefault="00BE7138" w:rsidP="00BE7138">
      <w:pPr>
        <w:jc w:val="both"/>
        <w:rPr>
          <w:sz w:val="28"/>
          <w:szCs w:val="28"/>
          <w:lang w:val="ru-RU"/>
        </w:rPr>
      </w:pPr>
    </w:p>
    <w:p w:rsidR="00BE7138" w:rsidRPr="006063A3" w:rsidRDefault="00BE7138" w:rsidP="00BE7138">
      <w:pPr>
        <w:rPr>
          <w:sz w:val="28"/>
          <w:szCs w:val="28"/>
        </w:rPr>
      </w:pPr>
    </w:p>
    <w:p w:rsidR="00BE7138" w:rsidRPr="006063A3" w:rsidRDefault="00BE7138" w:rsidP="00BE7138">
      <w:pPr>
        <w:rPr>
          <w:sz w:val="28"/>
          <w:szCs w:val="28"/>
        </w:rPr>
      </w:pPr>
    </w:p>
    <w:p w:rsidR="006C4694" w:rsidRPr="006063A3" w:rsidRDefault="006C4694">
      <w:pPr>
        <w:rPr>
          <w:sz w:val="28"/>
          <w:szCs w:val="28"/>
        </w:rPr>
      </w:pPr>
    </w:p>
    <w:sectPr w:rsidR="006C4694" w:rsidRPr="006063A3" w:rsidSect="00BE713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F7" w:rsidRDefault="008453F7">
      <w:r>
        <w:separator/>
      </w:r>
    </w:p>
  </w:endnote>
  <w:endnote w:type="continuationSeparator" w:id="0">
    <w:p w:rsidR="008453F7" w:rsidRDefault="0084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12" w:rsidRDefault="00FF5612" w:rsidP="00BE71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612" w:rsidRDefault="00FF5612" w:rsidP="00BE71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612" w:rsidRDefault="00FF5612" w:rsidP="00BE71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6369">
      <w:rPr>
        <w:rStyle w:val="a4"/>
        <w:noProof/>
      </w:rPr>
      <w:t>2</w:t>
    </w:r>
    <w:r>
      <w:rPr>
        <w:rStyle w:val="a4"/>
      </w:rPr>
      <w:fldChar w:fldCharType="end"/>
    </w:r>
  </w:p>
  <w:p w:rsidR="00FF5612" w:rsidRDefault="00FF5612" w:rsidP="00BE71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F7" w:rsidRDefault="008453F7">
      <w:r>
        <w:separator/>
      </w:r>
    </w:p>
  </w:footnote>
  <w:footnote w:type="continuationSeparator" w:id="0">
    <w:p w:rsidR="008453F7" w:rsidRDefault="0084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38"/>
    <w:rsid w:val="00044596"/>
    <w:rsid w:val="00044831"/>
    <w:rsid w:val="000529EA"/>
    <w:rsid w:val="000758E9"/>
    <w:rsid w:val="00075B49"/>
    <w:rsid w:val="0008007A"/>
    <w:rsid w:val="00085257"/>
    <w:rsid w:val="000A2636"/>
    <w:rsid w:val="000B32E5"/>
    <w:rsid w:val="000C7704"/>
    <w:rsid w:val="000C7C1F"/>
    <w:rsid w:val="000D1D60"/>
    <w:rsid w:val="000D2F0D"/>
    <w:rsid w:val="000F079B"/>
    <w:rsid w:val="000F3856"/>
    <w:rsid w:val="000F58BF"/>
    <w:rsid w:val="001043B8"/>
    <w:rsid w:val="001125AC"/>
    <w:rsid w:val="001257B9"/>
    <w:rsid w:val="0015651E"/>
    <w:rsid w:val="0016573E"/>
    <w:rsid w:val="00165925"/>
    <w:rsid w:val="00170CFA"/>
    <w:rsid w:val="001A0AE7"/>
    <w:rsid w:val="001F424A"/>
    <w:rsid w:val="00217CA1"/>
    <w:rsid w:val="0022149F"/>
    <w:rsid w:val="00222EE4"/>
    <w:rsid w:val="00233515"/>
    <w:rsid w:val="0023560F"/>
    <w:rsid w:val="00237B40"/>
    <w:rsid w:val="00244C01"/>
    <w:rsid w:val="00246EFC"/>
    <w:rsid w:val="00257836"/>
    <w:rsid w:val="00272CD9"/>
    <w:rsid w:val="002853A4"/>
    <w:rsid w:val="00285FC0"/>
    <w:rsid w:val="00297CEC"/>
    <w:rsid w:val="002B49F7"/>
    <w:rsid w:val="002C5764"/>
    <w:rsid w:val="002C5E5F"/>
    <w:rsid w:val="002D1CB7"/>
    <w:rsid w:val="002D252B"/>
    <w:rsid w:val="002D4E63"/>
    <w:rsid w:val="002E0B73"/>
    <w:rsid w:val="00327764"/>
    <w:rsid w:val="00353844"/>
    <w:rsid w:val="00357166"/>
    <w:rsid w:val="00374E5E"/>
    <w:rsid w:val="00382247"/>
    <w:rsid w:val="00386F36"/>
    <w:rsid w:val="003874E0"/>
    <w:rsid w:val="00396DE3"/>
    <w:rsid w:val="003C5707"/>
    <w:rsid w:val="003C71EC"/>
    <w:rsid w:val="003E708B"/>
    <w:rsid w:val="003F0DE8"/>
    <w:rsid w:val="003F4B76"/>
    <w:rsid w:val="0040104F"/>
    <w:rsid w:val="0040582B"/>
    <w:rsid w:val="00424463"/>
    <w:rsid w:val="00437920"/>
    <w:rsid w:val="00442BEB"/>
    <w:rsid w:val="004571D8"/>
    <w:rsid w:val="004810E4"/>
    <w:rsid w:val="004A1318"/>
    <w:rsid w:val="004C311A"/>
    <w:rsid w:val="004E722B"/>
    <w:rsid w:val="004F6B63"/>
    <w:rsid w:val="00501031"/>
    <w:rsid w:val="0051228C"/>
    <w:rsid w:val="00523C01"/>
    <w:rsid w:val="00524608"/>
    <w:rsid w:val="00540CDA"/>
    <w:rsid w:val="00571759"/>
    <w:rsid w:val="00571C62"/>
    <w:rsid w:val="00580084"/>
    <w:rsid w:val="00580F27"/>
    <w:rsid w:val="00585A8C"/>
    <w:rsid w:val="005A3182"/>
    <w:rsid w:val="005B5979"/>
    <w:rsid w:val="005C784D"/>
    <w:rsid w:val="005E4AD1"/>
    <w:rsid w:val="005F244F"/>
    <w:rsid w:val="00602B7D"/>
    <w:rsid w:val="0060565D"/>
    <w:rsid w:val="006063A3"/>
    <w:rsid w:val="00621D7F"/>
    <w:rsid w:val="00634B37"/>
    <w:rsid w:val="00652338"/>
    <w:rsid w:val="00662A4C"/>
    <w:rsid w:val="0067027A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D2A3A"/>
    <w:rsid w:val="006D4774"/>
    <w:rsid w:val="006F46E6"/>
    <w:rsid w:val="00701BCF"/>
    <w:rsid w:val="00711AF3"/>
    <w:rsid w:val="0071341A"/>
    <w:rsid w:val="0071561F"/>
    <w:rsid w:val="007563D6"/>
    <w:rsid w:val="00756E34"/>
    <w:rsid w:val="007668AD"/>
    <w:rsid w:val="0077007A"/>
    <w:rsid w:val="007707D8"/>
    <w:rsid w:val="00777A9A"/>
    <w:rsid w:val="00791CFF"/>
    <w:rsid w:val="00793425"/>
    <w:rsid w:val="00793CB5"/>
    <w:rsid w:val="007A1A60"/>
    <w:rsid w:val="007A2F8F"/>
    <w:rsid w:val="007A53C9"/>
    <w:rsid w:val="007C19B0"/>
    <w:rsid w:val="007C66F0"/>
    <w:rsid w:val="007D44CB"/>
    <w:rsid w:val="007D77CA"/>
    <w:rsid w:val="007D79E5"/>
    <w:rsid w:val="007E123A"/>
    <w:rsid w:val="007E51B1"/>
    <w:rsid w:val="007F64E5"/>
    <w:rsid w:val="00820266"/>
    <w:rsid w:val="008331AF"/>
    <w:rsid w:val="0084394B"/>
    <w:rsid w:val="008453F7"/>
    <w:rsid w:val="00852F8E"/>
    <w:rsid w:val="008656F6"/>
    <w:rsid w:val="00883B45"/>
    <w:rsid w:val="0088403D"/>
    <w:rsid w:val="00886224"/>
    <w:rsid w:val="008956A7"/>
    <w:rsid w:val="008E1C8F"/>
    <w:rsid w:val="008E685E"/>
    <w:rsid w:val="008E7F0C"/>
    <w:rsid w:val="008F5F06"/>
    <w:rsid w:val="008F69CA"/>
    <w:rsid w:val="008F6EC0"/>
    <w:rsid w:val="0090212C"/>
    <w:rsid w:val="00904163"/>
    <w:rsid w:val="00905615"/>
    <w:rsid w:val="0093113B"/>
    <w:rsid w:val="009669CB"/>
    <w:rsid w:val="00971DA2"/>
    <w:rsid w:val="00987DCD"/>
    <w:rsid w:val="009B0946"/>
    <w:rsid w:val="009B14EB"/>
    <w:rsid w:val="009C35DD"/>
    <w:rsid w:val="009C50C5"/>
    <w:rsid w:val="009F0C3A"/>
    <w:rsid w:val="00A03E7F"/>
    <w:rsid w:val="00A109DA"/>
    <w:rsid w:val="00A22891"/>
    <w:rsid w:val="00A46763"/>
    <w:rsid w:val="00A65854"/>
    <w:rsid w:val="00A762B7"/>
    <w:rsid w:val="00A912B9"/>
    <w:rsid w:val="00AB2BF6"/>
    <w:rsid w:val="00AB6C18"/>
    <w:rsid w:val="00AC3AD8"/>
    <w:rsid w:val="00AC4FB4"/>
    <w:rsid w:val="00AD0D8A"/>
    <w:rsid w:val="00B0365F"/>
    <w:rsid w:val="00B07DD6"/>
    <w:rsid w:val="00B161E7"/>
    <w:rsid w:val="00B21CF6"/>
    <w:rsid w:val="00B42EED"/>
    <w:rsid w:val="00B50E76"/>
    <w:rsid w:val="00B519CB"/>
    <w:rsid w:val="00B67906"/>
    <w:rsid w:val="00B7411D"/>
    <w:rsid w:val="00B7574D"/>
    <w:rsid w:val="00B83F79"/>
    <w:rsid w:val="00B8685C"/>
    <w:rsid w:val="00BB0B49"/>
    <w:rsid w:val="00BB2493"/>
    <w:rsid w:val="00BB53E8"/>
    <w:rsid w:val="00BE7138"/>
    <w:rsid w:val="00C012E1"/>
    <w:rsid w:val="00C1348B"/>
    <w:rsid w:val="00C4002D"/>
    <w:rsid w:val="00C47B30"/>
    <w:rsid w:val="00C54730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4620"/>
    <w:rsid w:val="00CD3A85"/>
    <w:rsid w:val="00CD4A6E"/>
    <w:rsid w:val="00CE33E4"/>
    <w:rsid w:val="00CF5A7F"/>
    <w:rsid w:val="00D02BA7"/>
    <w:rsid w:val="00D11232"/>
    <w:rsid w:val="00D25802"/>
    <w:rsid w:val="00D30351"/>
    <w:rsid w:val="00D5190E"/>
    <w:rsid w:val="00D53A64"/>
    <w:rsid w:val="00D54A91"/>
    <w:rsid w:val="00D60E45"/>
    <w:rsid w:val="00DB3F27"/>
    <w:rsid w:val="00DC1CB4"/>
    <w:rsid w:val="00DC2B1A"/>
    <w:rsid w:val="00DC3D29"/>
    <w:rsid w:val="00DC5733"/>
    <w:rsid w:val="00DC7EC1"/>
    <w:rsid w:val="00DD2A8B"/>
    <w:rsid w:val="00DD7603"/>
    <w:rsid w:val="00DE5862"/>
    <w:rsid w:val="00DF36ED"/>
    <w:rsid w:val="00DF47FD"/>
    <w:rsid w:val="00E04AE6"/>
    <w:rsid w:val="00E04B54"/>
    <w:rsid w:val="00E44A9C"/>
    <w:rsid w:val="00E5022A"/>
    <w:rsid w:val="00E50B7E"/>
    <w:rsid w:val="00E5161B"/>
    <w:rsid w:val="00E64E5E"/>
    <w:rsid w:val="00E9379A"/>
    <w:rsid w:val="00EB75D4"/>
    <w:rsid w:val="00EC045B"/>
    <w:rsid w:val="00EE30CD"/>
    <w:rsid w:val="00F003F6"/>
    <w:rsid w:val="00F01B85"/>
    <w:rsid w:val="00F05CE6"/>
    <w:rsid w:val="00F17AF7"/>
    <w:rsid w:val="00F2321F"/>
    <w:rsid w:val="00F268D7"/>
    <w:rsid w:val="00F276D9"/>
    <w:rsid w:val="00F32598"/>
    <w:rsid w:val="00F32C73"/>
    <w:rsid w:val="00F4544E"/>
    <w:rsid w:val="00F62319"/>
    <w:rsid w:val="00F7741D"/>
    <w:rsid w:val="00FA683B"/>
    <w:rsid w:val="00FB5F92"/>
    <w:rsid w:val="00FB6A38"/>
    <w:rsid w:val="00FC747F"/>
    <w:rsid w:val="00FD6369"/>
    <w:rsid w:val="00FD7619"/>
    <w:rsid w:val="00FF2163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72A7-ABC1-4B8A-BD8C-64DECE25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38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BE713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BE7138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footer"/>
    <w:basedOn w:val="a"/>
    <w:rsid w:val="00BE71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7138"/>
  </w:style>
  <w:style w:type="paragraph" w:styleId="a5">
    <w:name w:val="List Paragraph"/>
    <w:basedOn w:val="a"/>
    <w:qFormat/>
    <w:rsid w:val="00BE7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ПУДОСТЬСКОЕ СЕЛЬСКОЕ ПОСЕЛЕНИЕ</vt:lpstr>
    </vt:vector>
  </TitlesOfParts>
  <Company/>
  <LinksUpToDate>false</LinksUpToDate>
  <CharactersWithSpaces>5661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consultantplus://offline/main?base=LAW;n=115681;fld=134;dst=100370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ПУДОСТЬСКОЕ СЕЛЬСКОЕ ПОСЕЛЕНИЕ</dc:title>
  <dc:subject/>
  <dc:creator>USER</dc:creator>
  <cp:keywords/>
  <dc:description/>
  <cp:lastModifiedBy>Пользователь Windows</cp:lastModifiedBy>
  <cp:revision>2</cp:revision>
  <cp:lastPrinted>2012-12-13T08:01:00Z</cp:lastPrinted>
  <dcterms:created xsi:type="dcterms:W3CDTF">2017-11-26T18:44:00Z</dcterms:created>
  <dcterms:modified xsi:type="dcterms:W3CDTF">2017-11-26T18:44:00Z</dcterms:modified>
</cp:coreProperties>
</file>