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10" w:rsidRDefault="00E50A10" w:rsidP="00E50A1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90725" cy="8096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осреестр_лог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A10" w:rsidRDefault="00E50A10" w:rsidP="00E50A10"/>
    <w:p w:rsidR="00E50A10" w:rsidRDefault="00E50A10" w:rsidP="00E50A10"/>
    <w:p w:rsidR="00E50A10" w:rsidRDefault="00E50A10" w:rsidP="00E50A10"/>
    <w:p w:rsidR="00877284" w:rsidRPr="00BF4D38" w:rsidRDefault="00A57804" w:rsidP="00E50A10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Кадастровая палата</w:t>
      </w:r>
      <w:r w:rsidR="00272B25">
        <w:rPr>
          <w:rFonts w:ascii="Times New Roman" w:hAnsi="Times New Roman" w:cs="Times New Roman"/>
          <w:b/>
          <w:color w:val="auto"/>
          <w:sz w:val="28"/>
        </w:rPr>
        <w:t xml:space="preserve"> Ленинградской области</w:t>
      </w:r>
      <w:r>
        <w:rPr>
          <w:rFonts w:ascii="Times New Roman" w:hAnsi="Times New Roman" w:cs="Times New Roman"/>
          <w:b/>
          <w:color w:val="auto"/>
          <w:sz w:val="28"/>
        </w:rPr>
        <w:t xml:space="preserve"> оцифровала более 439 тыс. архивных документов</w:t>
      </w:r>
    </w:p>
    <w:p w:rsidR="00206934" w:rsidRPr="00097B5A" w:rsidRDefault="00BF4D38" w:rsidP="004D0E34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 xml:space="preserve">Ежегодно специалисты архива </w:t>
      </w:r>
      <w:r w:rsidR="00206934" w:rsidRPr="00097B5A">
        <w:rPr>
          <w:rFonts w:ascii="Times New Roman" w:hAnsi="Times New Roman" w:cs="Times New Roman"/>
          <w:b/>
          <w:color w:val="auto"/>
          <w:sz w:val="28"/>
        </w:rPr>
        <w:t>Кадастровой палат</w:t>
      </w:r>
      <w:r>
        <w:rPr>
          <w:rFonts w:ascii="Times New Roman" w:hAnsi="Times New Roman" w:cs="Times New Roman"/>
          <w:b/>
          <w:color w:val="auto"/>
          <w:sz w:val="28"/>
        </w:rPr>
        <w:t>ы</w:t>
      </w:r>
      <w:r w:rsidR="00206934" w:rsidRPr="00097B5A">
        <w:rPr>
          <w:rFonts w:ascii="Times New Roman" w:hAnsi="Times New Roman" w:cs="Times New Roman"/>
          <w:b/>
          <w:color w:val="auto"/>
          <w:sz w:val="28"/>
        </w:rPr>
        <w:t xml:space="preserve"> Ленинградской области </w:t>
      </w:r>
      <w:r>
        <w:rPr>
          <w:rFonts w:ascii="Times New Roman" w:hAnsi="Times New Roman" w:cs="Times New Roman"/>
          <w:b/>
          <w:color w:val="auto"/>
          <w:sz w:val="28"/>
        </w:rPr>
        <w:t xml:space="preserve">переводят десятки тысяч </w:t>
      </w:r>
      <w:r w:rsidR="00D56D51">
        <w:rPr>
          <w:rFonts w:ascii="Times New Roman" w:hAnsi="Times New Roman" w:cs="Times New Roman"/>
          <w:b/>
          <w:color w:val="auto"/>
          <w:sz w:val="28"/>
        </w:rPr>
        <w:t xml:space="preserve">кадастровых дел в </w:t>
      </w:r>
      <w:r w:rsidR="000B2189">
        <w:rPr>
          <w:rFonts w:ascii="Times New Roman" w:hAnsi="Times New Roman" w:cs="Times New Roman"/>
          <w:b/>
          <w:color w:val="auto"/>
          <w:sz w:val="28"/>
        </w:rPr>
        <w:t>цифровой формат</w:t>
      </w:r>
      <w:r>
        <w:rPr>
          <w:rFonts w:ascii="Times New Roman" w:hAnsi="Times New Roman" w:cs="Times New Roman"/>
          <w:b/>
          <w:color w:val="auto"/>
          <w:sz w:val="28"/>
        </w:rPr>
        <w:t>. Эксперты напомнили</w:t>
      </w:r>
      <w:r w:rsidR="00E50A10">
        <w:rPr>
          <w:rFonts w:ascii="Times New Roman" w:hAnsi="Times New Roman" w:cs="Times New Roman"/>
          <w:b/>
          <w:color w:val="auto"/>
          <w:sz w:val="28"/>
        </w:rPr>
        <w:t>,</w:t>
      </w:r>
      <w:r>
        <w:rPr>
          <w:rFonts w:ascii="Times New Roman" w:hAnsi="Times New Roman" w:cs="Times New Roman"/>
          <w:b/>
          <w:color w:val="auto"/>
          <w:sz w:val="28"/>
        </w:rPr>
        <w:t xml:space="preserve"> как получить</w:t>
      </w:r>
      <w:r w:rsidR="003F2177" w:rsidRPr="00097B5A">
        <w:rPr>
          <w:rFonts w:ascii="Times New Roman" w:hAnsi="Times New Roman" w:cs="Times New Roman"/>
          <w:b/>
          <w:color w:val="auto"/>
          <w:sz w:val="28"/>
        </w:rPr>
        <w:t xml:space="preserve"> архивны</w:t>
      </w:r>
      <w:r>
        <w:rPr>
          <w:rFonts w:ascii="Times New Roman" w:hAnsi="Times New Roman" w:cs="Times New Roman"/>
          <w:b/>
          <w:color w:val="auto"/>
          <w:sz w:val="28"/>
        </w:rPr>
        <w:t>е</w:t>
      </w:r>
      <w:r w:rsidR="003F2177" w:rsidRPr="00097B5A">
        <w:rPr>
          <w:rFonts w:ascii="Times New Roman" w:hAnsi="Times New Roman" w:cs="Times New Roman"/>
          <w:b/>
          <w:color w:val="auto"/>
          <w:sz w:val="28"/>
        </w:rPr>
        <w:t xml:space="preserve"> документ</w:t>
      </w:r>
      <w:r>
        <w:rPr>
          <w:rFonts w:ascii="Times New Roman" w:hAnsi="Times New Roman" w:cs="Times New Roman"/>
          <w:b/>
          <w:color w:val="auto"/>
          <w:sz w:val="28"/>
        </w:rPr>
        <w:t>ы</w:t>
      </w:r>
      <w:r w:rsidR="003F2177" w:rsidRPr="00097B5A">
        <w:rPr>
          <w:rFonts w:ascii="Times New Roman" w:hAnsi="Times New Roman" w:cs="Times New Roman"/>
          <w:b/>
          <w:color w:val="auto"/>
          <w:sz w:val="28"/>
        </w:rPr>
        <w:t xml:space="preserve"> на объект недвижимости</w:t>
      </w:r>
      <w:r w:rsidR="00E50A10">
        <w:rPr>
          <w:rFonts w:ascii="Times New Roman" w:hAnsi="Times New Roman" w:cs="Times New Roman"/>
          <w:b/>
          <w:color w:val="auto"/>
          <w:sz w:val="28"/>
        </w:rPr>
        <w:t>.</w:t>
      </w:r>
    </w:p>
    <w:p w:rsidR="00B751F8" w:rsidRDefault="00046449" w:rsidP="00BF4D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189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егодня </w:t>
      </w:r>
      <w:r w:rsidRPr="000B2189">
        <w:rPr>
          <w:rFonts w:ascii="Times New Roman" w:hAnsi="Times New Roman" w:cs="Times New Roman"/>
          <w:sz w:val="28"/>
        </w:rPr>
        <w:t>архив</w:t>
      </w:r>
      <w:r w:rsidR="000B2189" w:rsidRPr="000B2189">
        <w:rPr>
          <w:rFonts w:ascii="Times New Roman" w:hAnsi="Times New Roman" w:cs="Times New Roman"/>
          <w:sz w:val="28"/>
        </w:rPr>
        <w:t xml:space="preserve"> </w:t>
      </w:r>
      <w:r w:rsidR="00B751F8">
        <w:rPr>
          <w:rFonts w:ascii="Times New Roman" w:hAnsi="Times New Roman" w:cs="Times New Roman"/>
          <w:sz w:val="28"/>
        </w:rPr>
        <w:t xml:space="preserve">региональной </w:t>
      </w:r>
      <w:r w:rsidR="000B2189" w:rsidRPr="000B2189">
        <w:rPr>
          <w:rFonts w:ascii="Times New Roman" w:hAnsi="Times New Roman" w:cs="Times New Roman"/>
          <w:sz w:val="28"/>
        </w:rPr>
        <w:t xml:space="preserve">Кадастровой палаты </w:t>
      </w:r>
      <w:r w:rsidR="00B751F8">
        <w:rPr>
          <w:rFonts w:ascii="Times New Roman" w:hAnsi="Times New Roman" w:cs="Times New Roman"/>
          <w:sz w:val="28"/>
        </w:rPr>
        <w:t>хранит свыше</w:t>
      </w:r>
      <w:r w:rsidR="00B751F8" w:rsidRPr="004B4AA4">
        <w:rPr>
          <w:rFonts w:ascii="Times New Roman" w:hAnsi="Times New Roman" w:cs="Times New Roman"/>
          <w:sz w:val="28"/>
        </w:rPr>
        <w:t xml:space="preserve"> 1 млн. кадастровых дел</w:t>
      </w:r>
      <w:r w:rsidR="000B2189" w:rsidRPr="000B2189">
        <w:rPr>
          <w:rFonts w:ascii="Times New Roman" w:hAnsi="Times New Roman" w:cs="Times New Roman"/>
          <w:sz w:val="28"/>
        </w:rPr>
        <w:t xml:space="preserve"> </w:t>
      </w:r>
      <w:r w:rsidR="000B2189">
        <w:rPr>
          <w:rFonts w:ascii="Times New Roman" w:hAnsi="Times New Roman" w:cs="Times New Roman"/>
          <w:sz w:val="28"/>
        </w:rPr>
        <w:t>как в</w:t>
      </w:r>
      <w:r w:rsidR="000B2189" w:rsidRPr="000B2189">
        <w:rPr>
          <w:rFonts w:ascii="Times New Roman" w:hAnsi="Times New Roman" w:cs="Times New Roman"/>
          <w:sz w:val="28"/>
        </w:rPr>
        <w:t xml:space="preserve"> бумажном</w:t>
      </w:r>
      <w:r w:rsidR="000B2189">
        <w:rPr>
          <w:rFonts w:ascii="Times New Roman" w:hAnsi="Times New Roman" w:cs="Times New Roman"/>
          <w:sz w:val="28"/>
        </w:rPr>
        <w:t>, так и</w:t>
      </w:r>
      <w:r w:rsidR="000B2189" w:rsidRPr="000B2189">
        <w:rPr>
          <w:rFonts w:ascii="Times New Roman" w:hAnsi="Times New Roman" w:cs="Times New Roman"/>
          <w:sz w:val="28"/>
        </w:rPr>
        <w:t xml:space="preserve"> </w:t>
      </w:r>
      <w:r w:rsidR="00B751F8">
        <w:rPr>
          <w:rFonts w:ascii="Times New Roman" w:hAnsi="Times New Roman" w:cs="Times New Roman"/>
          <w:sz w:val="28"/>
        </w:rPr>
        <w:t xml:space="preserve">в </w:t>
      </w:r>
      <w:r w:rsidR="000B2189" w:rsidRPr="000B2189">
        <w:rPr>
          <w:rFonts w:ascii="Times New Roman" w:hAnsi="Times New Roman" w:cs="Times New Roman"/>
          <w:sz w:val="28"/>
        </w:rPr>
        <w:t xml:space="preserve">электронном </w:t>
      </w:r>
      <w:r w:rsidR="000B2189">
        <w:rPr>
          <w:rFonts w:ascii="Times New Roman" w:hAnsi="Times New Roman" w:cs="Times New Roman"/>
          <w:sz w:val="28"/>
        </w:rPr>
        <w:t>виде</w:t>
      </w:r>
      <w:r w:rsidR="000B2189" w:rsidRPr="000B2189">
        <w:rPr>
          <w:rFonts w:ascii="Times New Roman" w:hAnsi="Times New Roman" w:cs="Times New Roman"/>
          <w:sz w:val="28"/>
        </w:rPr>
        <w:t>.</w:t>
      </w:r>
      <w:r w:rsidR="000B2189">
        <w:rPr>
          <w:rFonts w:ascii="Times New Roman" w:hAnsi="Times New Roman" w:cs="Times New Roman"/>
          <w:sz w:val="28"/>
        </w:rPr>
        <w:t xml:space="preserve"> </w:t>
      </w:r>
    </w:p>
    <w:p w:rsidR="00B751F8" w:rsidRDefault="00B751F8" w:rsidP="00BF4D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51F8">
        <w:rPr>
          <w:rFonts w:ascii="Times New Roman" w:hAnsi="Times New Roman" w:cs="Times New Roman"/>
          <w:sz w:val="28"/>
        </w:rPr>
        <w:t>Кадастровое дело представляет собой совокупность документов, на основании которых в Единый гос</w:t>
      </w:r>
      <w:r w:rsidR="0089342E">
        <w:rPr>
          <w:rFonts w:ascii="Times New Roman" w:hAnsi="Times New Roman" w:cs="Times New Roman"/>
          <w:sz w:val="28"/>
        </w:rPr>
        <w:t>ударственный реестр</w:t>
      </w:r>
      <w:r w:rsidRPr="00B751F8">
        <w:rPr>
          <w:rFonts w:ascii="Times New Roman" w:hAnsi="Times New Roman" w:cs="Times New Roman"/>
          <w:sz w:val="28"/>
        </w:rPr>
        <w:t xml:space="preserve"> недвижимости вносятся сведения об объекте. </w:t>
      </w:r>
    </w:p>
    <w:p w:rsidR="00B167D7" w:rsidRDefault="00ED34DB" w:rsidP="00B167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решения задач по </w:t>
      </w:r>
      <w:r w:rsidRPr="00ED34DB">
        <w:rPr>
          <w:rFonts w:ascii="Times New Roman" w:hAnsi="Times New Roman" w:cs="Times New Roman"/>
          <w:sz w:val="28"/>
        </w:rPr>
        <w:t>долговременн</w:t>
      </w:r>
      <w:r>
        <w:rPr>
          <w:rFonts w:ascii="Times New Roman" w:hAnsi="Times New Roman" w:cs="Times New Roman"/>
          <w:sz w:val="28"/>
        </w:rPr>
        <w:t>ому</w:t>
      </w:r>
      <w:r w:rsidRPr="00ED34DB">
        <w:rPr>
          <w:rFonts w:ascii="Times New Roman" w:hAnsi="Times New Roman" w:cs="Times New Roman"/>
          <w:sz w:val="28"/>
        </w:rPr>
        <w:t xml:space="preserve"> хранени</w:t>
      </w:r>
      <w:r>
        <w:rPr>
          <w:rFonts w:ascii="Times New Roman" w:hAnsi="Times New Roman" w:cs="Times New Roman"/>
          <w:sz w:val="28"/>
        </w:rPr>
        <w:t>ю</w:t>
      </w:r>
      <w:r w:rsidRPr="00ED34DB">
        <w:rPr>
          <w:rFonts w:ascii="Times New Roman" w:hAnsi="Times New Roman" w:cs="Times New Roman"/>
          <w:sz w:val="28"/>
        </w:rPr>
        <w:t xml:space="preserve"> информации</w:t>
      </w:r>
      <w:r>
        <w:rPr>
          <w:rFonts w:ascii="Times New Roman" w:hAnsi="Times New Roman" w:cs="Times New Roman"/>
          <w:sz w:val="28"/>
        </w:rPr>
        <w:t xml:space="preserve"> </w:t>
      </w:r>
      <w:r w:rsidR="0089342E">
        <w:rPr>
          <w:rFonts w:ascii="Times New Roman" w:hAnsi="Times New Roman" w:cs="Times New Roman"/>
          <w:sz w:val="28"/>
        </w:rPr>
        <w:t>бумажны</w:t>
      </w:r>
      <w:r>
        <w:rPr>
          <w:rFonts w:ascii="Times New Roman" w:hAnsi="Times New Roman" w:cs="Times New Roman"/>
          <w:sz w:val="28"/>
        </w:rPr>
        <w:t>е</w:t>
      </w:r>
      <w:r w:rsidR="0089342E">
        <w:rPr>
          <w:rFonts w:ascii="Times New Roman" w:hAnsi="Times New Roman" w:cs="Times New Roman"/>
          <w:sz w:val="28"/>
        </w:rPr>
        <w:t xml:space="preserve"> </w:t>
      </w:r>
      <w:r w:rsidR="00B751F8">
        <w:rPr>
          <w:rFonts w:ascii="Times New Roman" w:hAnsi="Times New Roman" w:cs="Times New Roman"/>
          <w:sz w:val="28"/>
        </w:rPr>
        <w:t>кадастровы</w:t>
      </w:r>
      <w:r>
        <w:rPr>
          <w:rFonts w:ascii="Times New Roman" w:hAnsi="Times New Roman" w:cs="Times New Roman"/>
          <w:sz w:val="28"/>
        </w:rPr>
        <w:t>е</w:t>
      </w:r>
      <w:r w:rsidR="00B751F8">
        <w:rPr>
          <w:rFonts w:ascii="Times New Roman" w:hAnsi="Times New Roman" w:cs="Times New Roman"/>
          <w:sz w:val="28"/>
        </w:rPr>
        <w:t xml:space="preserve"> дел</w:t>
      </w:r>
      <w:r>
        <w:rPr>
          <w:rFonts w:ascii="Times New Roman" w:hAnsi="Times New Roman" w:cs="Times New Roman"/>
          <w:sz w:val="28"/>
        </w:rPr>
        <w:t>а</w:t>
      </w:r>
      <w:r w:rsidR="00B751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подлежат переводу </w:t>
      </w:r>
      <w:r w:rsidR="00B751F8">
        <w:rPr>
          <w:rFonts w:ascii="Times New Roman" w:hAnsi="Times New Roman" w:cs="Times New Roman"/>
          <w:sz w:val="28"/>
        </w:rPr>
        <w:t>в цифровой формат.</w:t>
      </w:r>
      <w:r w:rsidR="0089342E">
        <w:rPr>
          <w:rFonts w:ascii="Times New Roman" w:hAnsi="Times New Roman" w:cs="Times New Roman"/>
          <w:sz w:val="28"/>
        </w:rPr>
        <w:t xml:space="preserve"> </w:t>
      </w:r>
      <w:r w:rsidR="00B167D7">
        <w:rPr>
          <w:rFonts w:ascii="Times New Roman" w:hAnsi="Times New Roman" w:cs="Times New Roman"/>
          <w:sz w:val="28"/>
        </w:rPr>
        <w:t>По состоянию на 1 марта специалистами о</w:t>
      </w:r>
      <w:r w:rsidR="00B167D7" w:rsidRPr="004B4AA4">
        <w:rPr>
          <w:rFonts w:ascii="Times New Roman" w:hAnsi="Times New Roman" w:cs="Times New Roman"/>
          <w:sz w:val="28"/>
        </w:rPr>
        <w:t xml:space="preserve">цифровано </w:t>
      </w:r>
      <w:r w:rsidR="00B167D7">
        <w:rPr>
          <w:rFonts w:ascii="Times New Roman" w:hAnsi="Times New Roman" w:cs="Times New Roman"/>
          <w:sz w:val="28"/>
        </w:rPr>
        <w:t xml:space="preserve">более </w:t>
      </w:r>
      <w:r w:rsidR="00B167D7" w:rsidRPr="004B4AA4">
        <w:rPr>
          <w:rFonts w:ascii="Times New Roman" w:hAnsi="Times New Roman" w:cs="Times New Roman"/>
          <w:sz w:val="28"/>
        </w:rPr>
        <w:t>43</w:t>
      </w:r>
      <w:r w:rsidR="00B167D7">
        <w:rPr>
          <w:rFonts w:ascii="Times New Roman" w:hAnsi="Times New Roman" w:cs="Times New Roman"/>
          <w:sz w:val="28"/>
        </w:rPr>
        <w:t>9,6</w:t>
      </w:r>
      <w:r w:rsidR="00B167D7" w:rsidRPr="004B4AA4">
        <w:rPr>
          <w:rFonts w:ascii="Times New Roman" w:hAnsi="Times New Roman" w:cs="Times New Roman"/>
          <w:sz w:val="28"/>
        </w:rPr>
        <w:t xml:space="preserve"> тыс. кадастровых дел</w:t>
      </w:r>
      <w:r w:rsidR="00B167D7">
        <w:rPr>
          <w:rFonts w:ascii="Times New Roman" w:hAnsi="Times New Roman" w:cs="Times New Roman"/>
          <w:sz w:val="28"/>
        </w:rPr>
        <w:t>.</w:t>
      </w:r>
      <w:r w:rsidR="00B167D7" w:rsidRPr="00B751F8">
        <w:rPr>
          <w:rFonts w:ascii="Times New Roman" w:hAnsi="Times New Roman" w:cs="Times New Roman"/>
          <w:sz w:val="28"/>
        </w:rPr>
        <w:t xml:space="preserve"> </w:t>
      </w:r>
    </w:p>
    <w:p w:rsidR="00ED34DB" w:rsidRDefault="00ED34DB" w:rsidP="00B751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перевод документов в электронный вид</w:t>
      </w:r>
      <w:r w:rsidR="008934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позволяет гражданам</w:t>
      </w:r>
      <w:r w:rsidR="00272B25">
        <w:rPr>
          <w:rFonts w:ascii="Times New Roman" w:hAnsi="Times New Roman" w:cs="Times New Roman"/>
          <w:sz w:val="28"/>
        </w:rPr>
        <w:t xml:space="preserve"> и организациям</w:t>
      </w:r>
      <w:r w:rsidRPr="00ED34DB">
        <w:rPr>
          <w:rFonts w:ascii="Times New Roman" w:hAnsi="Times New Roman" w:cs="Times New Roman"/>
          <w:sz w:val="28"/>
        </w:rPr>
        <w:t xml:space="preserve"> оперативно </w:t>
      </w:r>
      <w:r w:rsidR="006E110A">
        <w:rPr>
          <w:rFonts w:ascii="Times New Roman" w:hAnsi="Times New Roman" w:cs="Times New Roman"/>
          <w:sz w:val="28"/>
        </w:rPr>
        <w:t>получать копии архивных документов для проведения</w:t>
      </w:r>
      <w:r w:rsidRPr="00ED34DB">
        <w:rPr>
          <w:rFonts w:ascii="Times New Roman" w:hAnsi="Times New Roman" w:cs="Times New Roman"/>
          <w:sz w:val="28"/>
        </w:rPr>
        <w:t xml:space="preserve"> операци</w:t>
      </w:r>
      <w:r w:rsidR="006E110A">
        <w:rPr>
          <w:rFonts w:ascii="Times New Roman" w:hAnsi="Times New Roman" w:cs="Times New Roman"/>
          <w:sz w:val="28"/>
        </w:rPr>
        <w:t>й</w:t>
      </w:r>
      <w:r w:rsidRPr="00ED34DB">
        <w:rPr>
          <w:rFonts w:ascii="Times New Roman" w:hAnsi="Times New Roman" w:cs="Times New Roman"/>
          <w:sz w:val="28"/>
        </w:rPr>
        <w:t xml:space="preserve"> с недвиж</w:t>
      </w:r>
      <w:r w:rsidR="00E54E5B">
        <w:rPr>
          <w:rFonts w:ascii="Times New Roman" w:hAnsi="Times New Roman" w:cs="Times New Roman"/>
          <w:sz w:val="28"/>
        </w:rPr>
        <w:t>имостью</w:t>
      </w:r>
      <w:r w:rsidR="006E110A">
        <w:rPr>
          <w:rFonts w:ascii="Times New Roman" w:hAnsi="Times New Roman" w:cs="Times New Roman"/>
          <w:sz w:val="28"/>
        </w:rPr>
        <w:t>,</w:t>
      </w:r>
      <w:r w:rsidRPr="00ED34DB">
        <w:rPr>
          <w:rFonts w:ascii="Times New Roman" w:hAnsi="Times New Roman" w:cs="Times New Roman"/>
          <w:sz w:val="28"/>
        </w:rPr>
        <w:t xml:space="preserve"> </w:t>
      </w:r>
      <w:r w:rsidR="006E110A" w:rsidRPr="00097B5A">
        <w:rPr>
          <w:rFonts w:ascii="Times New Roman" w:hAnsi="Times New Roman" w:cs="Times New Roman"/>
          <w:sz w:val="28"/>
        </w:rPr>
        <w:t>а также для урегулирования земельных споров.</w:t>
      </w:r>
      <w:r>
        <w:rPr>
          <w:rFonts w:ascii="Times New Roman" w:hAnsi="Times New Roman" w:cs="Times New Roman"/>
          <w:sz w:val="28"/>
        </w:rPr>
        <w:t xml:space="preserve"> </w:t>
      </w:r>
    </w:p>
    <w:p w:rsidR="00ED34DB" w:rsidRDefault="00ED34DB" w:rsidP="00272B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2177">
        <w:rPr>
          <w:rFonts w:ascii="Times New Roman" w:hAnsi="Times New Roman" w:cs="Times New Roman"/>
          <w:sz w:val="28"/>
        </w:rPr>
        <w:t>«</w:t>
      </w:r>
      <w:r w:rsidR="002F7874" w:rsidRPr="002F7874">
        <w:rPr>
          <w:rFonts w:ascii="Times New Roman" w:hAnsi="Times New Roman" w:cs="Times New Roman"/>
          <w:i/>
          <w:sz w:val="28"/>
        </w:rPr>
        <w:t>Еще одно преимущество</w:t>
      </w:r>
      <w:r w:rsidR="002F7874">
        <w:rPr>
          <w:rFonts w:ascii="Times New Roman" w:hAnsi="Times New Roman" w:cs="Times New Roman"/>
          <w:sz w:val="28"/>
        </w:rPr>
        <w:t xml:space="preserve"> </w:t>
      </w:r>
      <w:r w:rsidR="002F7874">
        <w:rPr>
          <w:rFonts w:ascii="Times New Roman" w:hAnsi="Times New Roman" w:cs="Times New Roman"/>
          <w:i/>
          <w:sz w:val="28"/>
        </w:rPr>
        <w:t>п</w:t>
      </w:r>
      <w:r w:rsidRPr="003F2177">
        <w:rPr>
          <w:rFonts w:ascii="Times New Roman" w:hAnsi="Times New Roman" w:cs="Times New Roman"/>
          <w:i/>
          <w:sz w:val="28"/>
        </w:rPr>
        <w:t>еревод</w:t>
      </w:r>
      <w:r w:rsidR="002F7874">
        <w:rPr>
          <w:rFonts w:ascii="Times New Roman" w:hAnsi="Times New Roman" w:cs="Times New Roman"/>
          <w:i/>
          <w:sz w:val="28"/>
        </w:rPr>
        <w:t>а</w:t>
      </w:r>
      <w:r w:rsidRPr="003F2177">
        <w:rPr>
          <w:rFonts w:ascii="Times New Roman" w:hAnsi="Times New Roman" w:cs="Times New Roman"/>
          <w:i/>
          <w:sz w:val="28"/>
        </w:rPr>
        <w:t xml:space="preserve"> </w:t>
      </w:r>
      <w:r w:rsidR="00B167D7">
        <w:rPr>
          <w:rFonts w:ascii="Times New Roman" w:hAnsi="Times New Roman" w:cs="Times New Roman"/>
          <w:i/>
          <w:sz w:val="28"/>
        </w:rPr>
        <w:t xml:space="preserve">кадастровых дел </w:t>
      </w:r>
      <w:r w:rsidRPr="003F2177">
        <w:rPr>
          <w:rFonts w:ascii="Times New Roman" w:hAnsi="Times New Roman" w:cs="Times New Roman"/>
          <w:i/>
          <w:sz w:val="28"/>
        </w:rPr>
        <w:t xml:space="preserve">в цифровой формат </w:t>
      </w:r>
      <w:r w:rsidR="002F7874">
        <w:rPr>
          <w:rFonts w:ascii="Times New Roman" w:hAnsi="Times New Roman" w:cs="Times New Roman"/>
          <w:i/>
          <w:sz w:val="28"/>
        </w:rPr>
        <w:t>–</w:t>
      </w:r>
      <w:r w:rsidR="00E75CFC">
        <w:rPr>
          <w:rFonts w:ascii="Times New Roman" w:hAnsi="Times New Roman" w:cs="Times New Roman"/>
          <w:i/>
          <w:sz w:val="28"/>
        </w:rPr>
        <w:t xml:space="preserve"> </w:t>
      </w:r>
      <w:r w:rsidR="002F7874">
        <w:rPr>
          <w:rFonts w:ascii="Times New Roman" w:hAnsi="Times New Roman" w:cs="Times New Roman"/>
          <w:i/>
          <w:sz w:val="28"/>
        </w:rPr>
        <w:t>предоставлени</w:t>
      </w:r>
      <w:r w:rsidR="00E75CFC">
        <w:rPr>
          <w:rFonts w:ascii="Times New Roman" w:hAnsi="Times New Roman" w:cs="Times New Roman"/>
          <w:i/>
          <w:sz w:val="28"/>
        </w:rPr>
        <w:t>е</w:t>
      </w:r>
      <w:r w:rsidR="00B167D7">
        <w:rPr>
          <w:rFonts w:ascii="Times New Roman" w:hAnsi="Times New Roman" w:cs="Times New Roman"/>
          <w:i/>
          <w:sz w:val="28"/>
        </w:rPr>
        <w:t xml:space="preserve"> документов</w:t>
      </w:r>
      <w:r w:rsidR="00E75CFC">
        <w:rPr>
          <w:rFonts w:ascii="Times New Roman" w:hAnsi="Times New Roman" w:cs="Times New Roman"/>
          <w:i/>
          <w:sz w:val="28"/>
        </w:rPr>
        <w:t xml:space="preserve"> по экстерриториальному принципу</w:t>
      </w:r>
      <w:r w:rsidR="002F7874">
        <w:rPr>
          <w:rFonts w:ascii="Times New Roman" w:hAnsi="Times New Roman" w:cs="Times New Roman"/>
          <w:i/>
          <w:sz w:val="28"/>
        </w:rPr>
        <w:t xml:space="preserve">. </w:t>
      </w:r>
      <w:r w:rsidR="006F7388" w:rsidRPr="006F7388">
        <w:rPr>
          <w:rFonts w:ascii="Times New Roman" w:hAnsi="Times New Roman" w:cs="Times New Roman"/>
          <w:i/>
          <w:sz w:val="28"/>
        </w:rPr>
        <w:t xml:space="preserve">Это значит, что житель Ленинградской области, который владеет недвижимостью в любом субъекте Российской Федерации, может оперативно получить копии документов, обратившись в ближайший офис </w:t>
      </w:r>
      <w:r w:rsidR="006F7388" w:rsidRPr="006F7388">
        <w:rPr>
          <w:rFonts w:ascii="Times New Roman" w:hAnsi="Times New Roman" w:cs="Times New Roman"/>
          <w:i/>
          <w:sz w:val="28"/>
        </w:rPr>
        <w:lastRenderedPageBreak/>
        <w:t>МФЦ или Кадастровой палаты</w:t>
      </w:r>
      <w:r w:rsidRPr="003F2177">
        <w:rPr>
          <w:rFonts w:ascii="Times New Roman" w:hAnsi="Times New Roman" w:cs="Times New Roman"/>
          <w:sz w:val="28"/>
        </w:rPr>
        <w:t xml:space="preserve">», – </w:t>
      </w:r>
      <w:r w:rsidR="006E110A">
        <w:rPr>
          <w:rFonts w:ascii="Times New Roman" w:hAnsi="Times New Roman" w:cs="Times New Roman"/>
          <w:sz w:val="28"/>
        </w:rPr>
        <w:t>отметила</w:t>
      </w:r>
      <w:r w:rsidRPr="003F2177">
        <w:rPr>
          <w:rFonts w:ascii="Times New Roman" w:hAnsi="Times New Roman" w:cs="Times New Roman"/>
          <w:sz w:val="28"/>
        </w:rPr>
        <w:t xml:space="preserve"> </w:t>
      </w:r>
      <w:r w:rsidR="006E110A" w:rsidRPr="006E110A">
        <w:rPr>
          <w:rFonts w:ascii="Times New Roman" w:hAnsi="Times New Roman" w:cs="Times New Roman"/>
          <w:b/>
          <w:sz w:val="28"/>
        </w:rPr>
        <w:t>эксперт</w:t>
      </w:r>
      <w:r w:rsidRPr="006E110A">
        <w:rPr>
          <w:rFonts w:ascii="Times New Roman" w:hAnsi="Times New Roman" w:cs="Times New Roman"/>
          <w:b/>
          <w:sz w:val="28"/>
        </w:rPr>
        <w:t xml:space="preserve"> </w:t>
      </w:r>
      <w:r w:rsidR="006E110A" w:rsidRPr="006E110A">
        <w:rPr>
          <w:rFonts w:ascii="Times New Roman" w:hAnsi="Times New Roman" w:cs="Times New Roman"/>
          <w:b/>
          <w:sz w:val="28"/>
        </w:rPr>
        <w:t>К</w:t>
      </w:r>
      <w:r w:rsidRPr="006E110A">
        <w:rPr>
          <w:rFonts w:ascii="Times New Roman" w:hAnsi="Times New Roman" w:cs="Times New Roman"/>
          <w:b/>
          <w:sz w:val="28"/>
        </w:rPr>
        <w:t>адастровой палаты</w:t>
      </w:r>
      <w:r w:rsidR="006E110A" w:rsidRPr="006E110A">
        <w:rPr>
          <w:rFonts w:ascii="Times New Roman" w:hAnsi="Times New Roman" w:cs="Times New Roman"/>
          <w:b/>
          <w:sz w:val="28"/>
        </w:rPr>
        <w:t xml:space="preserve"> Ленинградской области Анна </w:t>
      </w:r>
      <w:proofErr w:type="spellStart"/>
      <w:r w:rsidR="006E110A" w:rsidRPr="006E110A">
        <w:rPr>
          <w:rFonts w:ascii="Times New Roman" w:hAnsi="Times New Roman" w:cs="Times New Roman"/>
          <w:b/>
          <w:sz w:val="28"/>
        </w:rPr>
        <w:t>Шумилкина</w:t>
      </w:r>
      <w:proofErr w:type="spellEnd"/>
      <w:r w:rsidRPr="003F2177">
        <w:rPr>
          <w:rFonts w:ascii="Times New Roman" w:hAnsi="Times New Roman" w:cs="Times New Roman"/>
          <w:sz w:val="28"/>
        </w:rPr>
        <w:t>.</w:t>
      </w:r>
    </w:p>
    <w:p w:rsidR="004A3A31" w:rsidRDefault="004A3A31" w:rsidP="00272B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401AA26" wp14:editId="5EE9525D">
            <wp:simplePos x="0" y="0"/>
            <wp:positionH relativeFrom="margin">
              <wp:posOffset>0</wp:posOffset>
            </wp:positionH>
            <wp:positionV relativeFrom="paragraph">
              <wp:posOffset>408940</wp:posOffset>
            </wp:positionV>
            <wp:extent cx="1990725" cy="8096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осреестр_лог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A31" w:rsidRDefault="004A3A31" w:rsidP="00272B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63C3" w:rsidRDefault="000963C3" w:rsidP="00272B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63C3" w:rsidRDefault="000963C3" w:rsidP="00272B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A3A31" w:rsidRPr="006D45B0" w:rsidRDefault="004A3A31" w:rsidP="004A3A3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Граница между </w:t>
      </w:r>
      <w:r w:rsidRPr="006D45B0">
        <w:rPr>
          <w:rFonts w:ascii="Times New Roman" w:hAnsi="Times New Roman" w:cs="Times New Roman"/>
          <w:b/>
          <w:sz w:val="28"/>
        </w:rPr>
        <w:t>Ленинградской и Псковской областями внесена в реестр недвижимости</w:t>
      </w:r>
    </w:p>
    <w:p w:rsidR="004A3A31" w:rsidRPr="006D45B0" w:rsidRDefault="004A3A31" w:rsidP="004A3A3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D45B0">
        <w:rPr>
          <w:rFonts w:ascii="Times New Roman" w:hAnsi="Times New Roman" w:cs="Times New Roman"/>
          <w:b/>
          <w:sz w:val="28"/>
        </w:rPr>
        <w:t>В феврале 2021 года Единый государственный реестр недвижимости пополнился сведениями о границе между Ленинградской и Псковской областями.</w:t>
      </w:r>
      <w:r w:rsidRPr="006D45B0">
        <w:rPr>
          <w:b/>
        </w:rPr>
        <w:t xml:space="preserve"> </w:t>
      </w:r>
      <w:r w:rsidRPr="006D45B0">
        <w:rPr>
          <w:rFonts w:ascii="Times New Roman" w:hAnsi="Times New Roman" w:cs="Times New Roman"/>
          <w:b/>
          <w:sz w:val="28"/>
        </w:rPr>
        <w:t>Протяженность границы между субъектами составила 292,8 км.</w:t>
      </w:r>
    </w:p>
    <w:p w:rsidR="004A3A31" w:rsidRPr="006D45B0" w:rsidRDefault="004A3A31" w:rsidP="004A3A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45B0">
        <w:rPr>
          <w:rFonts w:ascii="Times New Roman" w:hAnsi="Times New Roman" w:cs="Times New Roman"/>
          <w:sz w:val="28"/>
        </w:rPr>
        <w:t>Завершилась работа по внесению в Единый государственный реестр недвижимости границы Ленинградской области протяженностью 292,8 км с одним из соседних регионов – Псковской областью.</w:t>
      </w:r>
    </w:p>
    <w:p w:rsidR="004A3A31" w:rsidRPr="006D45B0" w:rsidRDefault="004A3A31" w:rsidP="004A3A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45B0">
        <w:rPr>
          <w:rFonts w:ascii="Times New Roman" w:hAnsi="Times New Roman" w:cs="Times New Roman"/>
          <w:sz w:val="28"/>
        </w:rPr>
        <w:t xml:space="preserve">Ленинградская область граничит с </w:t>
      </w:r>
      <w:r>
        <w:rPr>
          <w:rFonts w:ascii="Times New Roman" w:hAnsi="Times New Roman" w:cs="Times New Roman"/>
          <w:sz w:val="28"/>
        </w:rPr>
        <w:t>пятью</w:t>
      </w:r>
      <w:r w:rsidRPr="006D45B0">
        <w:rPr>
          <w:rFonts w:ascii="Times New Roman" w:hAnsi="Times New Roman" w:cs="Times New Roman"/>
          <w:sz w:val="28"/>
        </w:rPr>
        <w:t xml:space="preserve"> субъектами Российской Федерации: на севере – с Республикой Карелия, на юге – с Псковской областью, на востоке – с Вологодской областью, на юго-востоке – с Новгородской область</w:t>
      </w:r>
      <w:r w:rsidRPr="00134C42">
        <w:rPr>
          <w:rFonts w:ascii="Times New Roman" w:hAnsi="Times New Roman" w:cs="Times New Roman"/>
          <w:color w:val="000000" w:themeColor="text1"/>
          <w:sz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</w:rPr>
        <w:t>. Кроме того, регион граничит с городом федерального значения</w:t>
      </w:r>
      <w:r w:rsidRPr="00134C42">
        <w:t xml:space="preserve"> </w:t>
      </w:r>
      <w:r w:rsidRPr="00134C42">
        <w:rPr>
          <w:rFonts w:ascii="Times New Roman" w:hAnsi="Times New Roman" w:cs="Times New Roman"/>
          <w:color w:val="000000" w:themeColor="text1"/>
          <w:sz w:val="28"/>
        </w:rPr>
        <w:t>Российской Федерации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– Санкт-Петербург.</w:t>
      </w:r>
    </w:p>
    <w:p w:rsidR="004A3A31" w:rsidRPr="006D45B0" w:rsidRDefault="004A3A31" w:rsidP="004A3A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45B0">
        <w:rPr>
          <w:rFonts w:ascii="Times New Roman" w:hAnsi="Times New Roman" w:cs="Times New Roman"/>
          <w:sz w:val="28"/>
        </w:rPr>
        <w:t>Документы с описанием местоположения границы между субъектами поступили в рамках межведомственного информационного взаимодействия от Ленинградского областного комитета по управлению государственным имуществом.</w:t>
      </w:r>
    </w:p>
    <w:p w:rsidR="004A3A31" w:rsidRPr="006D45B0" w:rsidRDefault="004A3A31" w:rsidP="004A3A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45B0">
        <w:rPr>
          <w:rFonts w:ascii="Times New Roman" w:hAnsi="Times New Roman" w:cs="Times New Roman"/>
          <w:i/>
          <w:sz w:val="28"/>
        </w:rPr>
        <w:t xml:space="preserve">«Работа по согласованию и внесению в ЕГРН границы между Ленинградской и Псковской областями – результат успешного взаимодействия органов власти на разных уровнях. Наполнение ЕГРН </w:t>
      </w:r>
      <w:r w:rsidRPr="006D45B0">
        <w:rPr>
          <w:rFonts w:ascii="Times New Roman" w:hAnsi="Times New Roman" w:cs="Times New Roman"/>
          <w:i/>
          <w:sz w:val="28"/>
        </w:rPr>
        <w:lastRenderedPageBreak/>
        <w:t>сведениями о границах субъектов Российской Федерации позволит более эффективно управлять территориями и земельными ресурсами, устранит проблемы, возникающие в процессе земельно-имущественных отношений. Это большой шаг в развитии инвестиционной привлекательности региона»,</w:t>
      </w:r>
      <w:r w:rsidRPr="006D45B0">
        <w:rPr>
          <w:rFonts w:ascii="Times New Roman" w:hAnsi="Times New Roman" w:cs="Times New Roman"/>
          <w:sz w:val="28"/>
        </w:rPr>
        <w:t xml:space="preserve"> – прокомментировал </w:t>
      </w:r>
      <w:r w:rsidRPr="006D45B0">
        <w:rPr>
          <w:rFonts w:ascii="Times New Roman" w:hAnsi="Times New Roman" w:cs="Times New Roman"/>
          <w:b/>
          <w:sz w:val="28"/>
        </w:rPr>
        <w:t xml:space="preserve">директор филиала Кадастровой палаты Ленинградской области Тимофей </w:t>
      </w:r>
      <w:proofErr w:type="spellStart"/>
      <w:r w:rsidRPr="006D45B0">
        <w:rPr>
          <w:rFonts w:ascii="Times New Roman" w:hAnsi="Times New Roman" w:cs="Times New Roman"/>
          <w:b/>
          <w:sz w:val="28"/>
        </w:rPr>
        <w:t>Сидяйкин</w:t>
      </w:r>
      <w:proofErr w:type="spellEnd"/>
      <w:r w:rsidRPr="006D45B0">
        <w:rPr>
          <w:rFonts w:ascii="Times New Roman" w:hAnsi="Times New Roman" w:cs="Times New Roman"/>
          <w:sz w:val="28"/>
        </w:rPr>
        <w:t>.</w:t>
      </w:r>
    </w:p>
    <w:p w:rsidR="000963C3" w:rsidRDefault="004A3A31" w:rsidP="000963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45B0">
        <w:rPr>
          <w:rFonts w:ascii="Times New Roman" w:hAnsi="Times New Roman" w:cs="Times New Roman"/>
          <w:sz w:val="28"/>
        </w:rPr>
        <w:t>Кроме того,</w:t>
      </w:r>
      <w:r>
        <w:rPr>
          <w:rFonts w:ascii="Times New Roman" w:hAnsi="Times New Roman" w:cs="Times New Roman"/>
          <w:sz w:val="28"/>
        </w:rPr>
        <w:t xml:space="preserve"> в настоящее время</w:t>
      </w:r>
      <w:r w:rsidRPr="006D45B0">
        <w:rPr>
          <w:rFonts w:ascii="Times New Roman" w:hAnsi="Times New Roman" w:cs="Times New Roman"/>
          <w:sz w:val="28"/>
        </w:rPr>
        <w:t xml:space="preserve"> эксперт</w:t>
      </w:r>
      <w:r>
        <w:rPr>
          <w:rFonts w:ascii="Times New Roman" w:hAnsi="Times New Roman" w:cs="Times New Roman"/>
          <w:sz w:val="28"/>
        </w:rPr>
        <w:t>ы</w:t>
      </w:r>
      <w:r w:rsidRPr="006D45B0">
        <w:rPr>
          <w:rFonts w:ascii="Times New Roman" w:hAnsi="Times New Roman" w:cs="Times New Roman"/>
          <w:sz w:val="28"/>
        </w:rPr>
        <w:t xml:space="preserve"> Кадастровой палаты Ленинградской области </w:t>
      </w:r>
      <w:r>
        <w:rPr>
          <w:rFonts w:ascii="Times New Roman" w:hAnsi="Times New Roman" w:cs="Times New Roman"/>
          <w:sz w:val="28"/>
        </w:rPr>
        <w:t xml:space="preserve">принимают участие в работе </w:t>
      </w:r>
      <w:r w:rsidRPr="006D45B0">
        <w:rPr>
          <w:rFonts w:ascii="Times New Roman" w:hAnsi="Times New Roman" w:cs="Times New Roman"/>
          <w:sz w:val="28"/>
        </w:rPr>
        <w:t>по описанию местоположения границ Ленинградской области с Новгородской и Вологодской областями, а также с Республикой Карелия</w:t>
      </w:r>
      <w:r>
        <w:rPr>
          <w:rFonts w:ascii="Times New Roman" w:hAnsi="Times New Roman" w:cs="Times New Roman"/>
          <w:sz w:val="28"/>
        </w:rPr>
        <w:t xml:space="preserve">, проводимой органами государственной власти </w:t>
      </w:r>
      <w:r w:rsidRPr="005E1DAD">
        <w:rPr>
          <w:rFonts w:ascii="Times New Roman" w:hAnsi="Times New Roman" w:cs="Times New Roman"/>
          <w:sz w:val="28"/>
        </w:rPr>
        <w:t>Ленинградской области</w:t>
      </w:r>
      <w:r w:rsidRPr="006D45B0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0963C3" w:rsidRPr="009D704C" w:rsidRDefault="000963C3" w:rsidP="004A3A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401AA26" wp14:editId="5EE9525D">
            <wp:simplePos x="0" y="0"/>
            <wp:positionH relativeFrom="margin">
              <wp:posOffset>0</wp:posOffset>
            </wp:positionH>
            <wp:positionV relativeFrom="paragraph">
              <wp:posOffset>408940</wp:posOffset>
            </wp:positionV>
            <wp:extent cx="1990725" cy="809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осреестр_лог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3C3" w:rsidRDefault="000963C3" w:rsidP="004A3A31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63C3" w:rsidRDefault="000963C3" w:rsidP="004A3A31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A31" w:rsidRPr="00454847" w:rsidRDefault="004A3A31" w:rsidP="004A3A31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Как подарить недвижимость: советы Кадастровой палаты </w:t>
      </w:r>
    </w:p>
    <w:p w:rsidR="004A3A31" w:rsidRPr="00C669F8" w:rsidRDefault="004A3A31" w:rsidP="004A3A31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Федеральной кадастровой палате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рассказали</w:t>
      </w:r>
      <w:r w:rsidRPr="00C66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 правовых аспектах и особенностях отчуждения объекта недвижимости на основании договора дарения</w:t>
      </w:r>
    </w:p>
    <w:p w:rsidR="004A3A31" w:rsidRDefault="004A3A31" w:rsidP="004A3A31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Законодательство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устанавливает</w:t>
      </w:r>
      <w:r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r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закону, в том числе отчуждать свое имущество в собственность другим лицам на основании договоров купли-продажи, мены, дарения или иной сделки об отчуждении недвижимости.</w:t>
      </w:r>
      <w:r w:rsidRPr="00C669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результате отчуждения объекта недвижимости осуществляется переход права собственности от собственника объекта недвижимости</w:t>
      </w:r>
      <w:r w:rsidRPr="00A45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его приобретателю, о чем в Единый государственный реестр недвижимости вносится запись. </w:t>
      </w:r>
    </w:p>
    <w:p w:rsidR="004A3A31" w:rsidRDefault="004A3A31" w:rsidP="004A3A31">
      <w:pPr>
        <w:spacing w:before="240"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A3A31" w:rsidRDefault="004A3A31" w:rsidP="004A3A31">
      <w:pPr>
        <w:spacing w:before="240"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Дарение</w:t>
      </w:r>
    </w:p>
    <w:p w:rsidR="004A3A31" w:rsidRDefault="004A3A31" w:rsidP="004A3A31">
      <w:pPr>
        <w:spacing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Подарить недвижимость – </w:t>
      </w:r>
      <w:hyperlink r:id="rId6" w:history="1">
        <w:r w:rsidRPr="0045484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законодательно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безвозмездно передать на нее права другому лицу. Дарение недвижимости – это сделка.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A3A31" w:rsidRDefault="004A3A31" w:rsidP="004A3A31">
      <w:pPr>
        <w:spacing w:before="240"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Дарение как сделка с недвижимостью обязательно имеет стороны договора.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С одной стороны – это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даритель, т.е.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владелец недвижимости, которую он собирается преподнести в дар, а с другой – это одаряемый, принимающий в дар недвижимость.</w:t>
      </w:r>
    </w:p>
    <w:p w:rsidR="004A3A31" w:rsidRPr="00454847" w:rsidRDefault="004A3A31" w:rsidP="004A3A31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Произнесенное обещание подарить квартиру или дом не несет в себе никакой </w:t>
      </w:r>
      <w:hyperlink r:id="rId7" w:anchor="dst100528" w:history="1">
        <w:r w:rsidRPr="0045484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законной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никаких правовых последствий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 Передача, например, ключей от квартиры или документов на недвижимость так же не устанавливает иного правообладателя, кроме лица или лиц, указанных в правоустанавливающих документах. Только подписанный дарителем и одаряемым договор дарения и зарегистрированный на основании него переход права собственности в органе регистрации прав свидетельствует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получении одаряемым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такого большого подарка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собственность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3A31" w:rsidRPr="00454847" w:rsidRDefault="004A3A31" w:rsidP="004A3A31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учитывать, что д</w:t>
      </w:r>
      <w:r w:rsidRPr="00454847">
        <w:rPr>
          <w:rFonts w:ascii="Times New Roman" w:hAnsi="Times New Roman" w:cs="Times New Roman"/>
          <w:sz w:val="28"/>
          <w:szCs w:val="28"/>
        </w:rPr>
        <w:t>оговор, предусматривающий передачу объекта недвижимости одаряемому после смерти дарителя, ничтожен, и в государственной регистрации перехода права собственности по такому договору будет отказано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Стороны договора дарения могут состоять в родстве, так и не являться родственниками. </w:t>
      </w:r>
    </w:p>
    <w:p w:rsidR="004A3A31" w:rsidRPr="00454847" w:rsidRDefault="004A3A31" w:rsidP="004A3A31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hyperlink r:id="rId8" w:history="1">
        <w:r w:rsidRPr="001E74A4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п. 18.1</w:t>
        </w:r>
      </w:hyperlink>
      <w:r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 217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Налогового Кодекса РФ говорится о том, что </w:t>
      </w: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полученные в порядке дарения, освобождаются от налогообложения в случае, если даритель и одаряемый являются членами семьи или близкими родственниками: супругами, родителями и детьми, в том числе усыновителями и усыновленными, дедушкой, бабушкой, внуками, братьями и сестрами. Если же недвижимость получит в дар не близкий родственник, то по закону он должен будет уплатить подоходный налог в размере 13% от кадастровой стоимости объекта.</w:t>
      </w:r>
    </w:p>
    <w:p w:rsidR="004A3A31" w:rsidRPr="00454847" w:rsidRDefault="004A3A31" w:rsidP="004A3A31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Предметом договора дарения может выступать как непосредственно объект недвижимости, принадлежащий дарителю на праве собственности, так и имущественное право, например, право требования по договору участия в долевом строительстве в отношении строящего объекта недвижимости.</w:t>
      </w:r>
    </w:p>
    <w:p w:rsidR="004A3A31" w:rsidRPr="00454847" w:rsidRDefault="004A3A31" w:rsidP="004A3A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Важно!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условиях сделки дарения даритель не в праве устанавливать какие-либо требования для получения подарка от одаряемой стороны. Даритель никакой выгоды от сделки не получает. Если передача прав на недвижимость по договору дарения происходит под условием встречной передачи</w:t>
      </w:r>
      <w:r w:rsidRPr="00454847">
        <w:rPr>
          <w:rFonts w:ascii="Times New Roman" w:hAnsi="Times New Roman" w:cs="Times New Roman"/>
          <w:sz w:val="28"/>
          <w:szCs w:val="28"/>
        </w:rPr>
        <w:t xml:space="preserve"> вещи или права либо встречного обязательства,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такой договор не признается дарением, а сделка является </w:t>
      </w:r>
      <w:hyperlink r:id="rId9" w:anchor="dst100961" w:history="1">
        <w:r w:rsidRPr="0045484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притворной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A3A31" w:rsidRDefault="004A3A31" w:rsidP="004A3A31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Исключением являются те случаи, когда договор дарения составлен с обременением (в п.3 </w:t>
      </w:r>
      <w:hyperlink r:id="rId10" w:history="1">
        <w:r w:rsidRPr="0045484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ст. 421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ГК РФ указывается законное обоснование таких договоров – стороны могут заключить договор, в котором содержатся элементы различных договоров) и предусматривает, например, право дарителя проживать в подаренном им жилье.</w:t>
      </w:r>
    </w:p>
    <w:p w:rsidR="004A3A31" w:rsidRPr="00454847" w:rsidRDefault="004A3A31" w:rsidP="004A3A31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3A31" w:rsidRPr="00454847" w:rsidRDefault="004A3A31" w:rsidP="004A3A31">
      <w:pPr>
        <w:spacing w:before="240" w:after="360"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Кто может дарить и получать в дар недвижимость?</w:t>
      </w:r>
    </w:p>
    <w:p w:rsidR="004A3A31" w:rsidRPr="00454847" w:rsidRDefault="004A3A31" w:rsidP="004A3A31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Законодательно дарение регулируется Гражданским кодексом РФ, где в </w:t>
      </w:r>
      <w:hyperlink r:id="rId11" w:history="1">
        <w:r w:rsidRPr="0045484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32 Главе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прописаны все аспекты данной сделки. Дарение недвижимого имущества может совершить только сам владелец этого имущества по своему свободному волеизъявлению. Невозможно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 переход права собственности на недвижимость на основании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договора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дарения, если даритель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хоть и подписал договор дарения, но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даты проведения государственной регистрации перехода на нее права собственности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3A31" w:rsidRPr="00454847" w:rsidRDefault="004A3A31" w:rsidP="004A3A31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 предусматривает определенный круг лиц, которым </w:t>
      </w:r>
      <w:hyperlink r:id="rId12" w:history="1">
        <w:r w:rsidRPr="0045484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запрещается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осуществлять дарение:</w:t>
      </w:r>
    </w:p>
    <w:p w:rsidR="004A3A31" w:rsidRPr="00454847" w:rsidRDefault="004A3A31" w:rsidP="004A3A31">
      <w:pPr>
        <w:pStyle w:val="a6"/>
        <w:numPr>
          <w:ilvl w:val="0"/>
          <w:numId w:val="1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Законным представителям малолетних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признанных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недееспособны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запрещается дарить недвижимость их </w:t>
      </w:r>
      <w:hyperlink r:id="rId13" w:history="1">
        <w:r w:rsidRPr="0045484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подопечных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3A31" w:rsidRPr="00454847" w:rsidRDefault="004A3A31" w:rsidP="004A3A31">
      <w:pPr>
        <w:pStyle w:val="a6"/>
        <w:numPr>
          <w:ilvl w:val="0"/>
          <w:numId w:val="1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Гражданам и их родственникам, находящихся на лечении, содержании и воспитании в организациях медицинских, образовательных, оказывающих социальные услуги, в том числе для детей-сирот и детей, оставшихся без попечения родителей, не допускается отчуждение их имущества в дар сотрудникам этих организаций.</w:t>
      </w:r>
    </w:p>
    <w:p w:rsidR="004A3A31" w:rsidRPr="00454847" w:rsidRDefault="004A3A31" w:rsidP="004A3A31">
      <w:pPr>
        <w:pStyle w:val="a6"/>
        <w:numPr>
          <w:ilvl w:val="0"/>
          <w:numId w:val="1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дарение недвижимости лицам, замещающим государственные должности,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обязанностей.</w:t>
      </w:r>
    </w:p>
    <w:p w:rsidR="004A3A31" w:rsidRPr="00574B87" w:rsidRDefault="004A3A31" w:rsidP="004A3A31">
      <w:pPr>
        <w:pStyle w:val="a6"/>
        <w:numPr>
          <w:ilvl w:val="0"/>
          <w:numId w:val="1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Коммерческие организации не вправе совершать между собой сделки дарения.</w:t>
      </w:r>
    </w:p>
    <w:p w:rsidR="004A3A31" w:rsidRPr="00454847" w:rsidRDefault="004A3A31" w:rsidP="004A3A3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документы для регистрации перехода права при дарении</w:t>
      </w:r>
    </w:p>
    <w:p w:rsidR="004A3A31" w:rsidRDefault="004A3A31" w:rsidP="004A3A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Правоустанавливающим документом в случае совершения сделки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дарения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 дарения,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которому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даритель безвозмездно передает права на недвижимое имущество одаряемому, который, в свою очередь, согласен принять </w:t>
      </w:r>
      <w:r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имущество в дар.</w:t>
      </w:r>
    </w:p>
    <w:p w:rsidR="004A3A31" w:rsidRPr="00D8428C" w:rsidRDefault="004A3A31" w:rsidP="004A3A31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Обязательного удостоверения сделки у нотариуса не требуется, за исключением случаев, когда в дар преподносится</w:t>
      </w:r>
      <w:r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доля права в общей долевой собственности, если представителем одного из сторон договора дарения является третье лицо, действующее по доверенности и др. </w:t>
      </w:r>
    </w:p>
    <w:p w:rsidR="004A3A31" w:rsidRDefault="004A3A31" w:rsidP="004A3A31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D40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Важно!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45F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Доверенность на совершение дарения представителем, в которой не назван одаряемый и не указан предмет дарения, ничтожна.</w:t>
      </w:r>
    </w:p>
    <w:p w:rsidR="004A3A31" w:rsidRPr="00A45FBE" w:rsidRDefault="004A3A31" w:rsidP="004A3A31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Договор дарения недвижимости не требует государственной регистрации, если он был заключен после 1 марта 2013 года. Подлежит регистрации только переход права собственности на подаренную недвижимость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основании такого договора</w:t>
      </w: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4A3A31" w:rsidRDefault="004A3A31" w:rsidP="004A3A31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случае, если сделка дарения удостоверяется нотариусом,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заявитель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подать документы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регистрацию</w:t>
      </w:r>
      <w:r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него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отариус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 незамедлительно, не позднее окончания рабочего дня или в сроки, установленные сторонами в договоре, представить в электронной форме заявление о государственной регистрации прав и прилагаемые к нему документы в орган регистрации прав, если стороны сделки не возражают против подачи такого заявления нотариусом.</w:t>
      </w:r>
    </w:p>
    <w:p w:rsidR="004A3A31" w:rsidRPr="00ED40C8" w:rsidRDefault="004A3A31" w:rsidP="004A3A31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регистрации перехода прав собственности на подаренный объект недвижимости понадобится представить в регистрационный орган следующие документы:</w:t>
      </w:r>
    </w:p>
    <w:p w:rsidR="004A3A31" w:rsidRPr="00ED40C8" w:rsidRDefault="004A3A31" w:rsidP="004A3A31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регистрации прав собственности;</w:t>
      </w:r>
    </w:p>
    <w:p w:rsidR="004A3A31" w:rsidRPr="00454847" w:rsidRDefault="004A3A31" w:rsidP="004A3A3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подтверждающие личности участников договора;</w:t>
      </w:r>
    </w:p>
    <w:p w:rsidR="004A3A31" w:rsidRPr="00454847" w:rsidRDefault="004A3A31" w:rsidP="004A3A3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нотариально удостоверенн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доверенность, если третье лицо действует от имени участника договора;</w:t>
      </w:r>
    </w:p>
    <w:p w:rsidR="004A3A31" w:rsidRPr="00454847" w:rsidRDefault="004A3A31" w:rsidP="004A3A3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дарения;</w:t>
      </w:r>
    </w:p>
    <w:p w:rsidR="004A3A31" w:rsidRDefault="004A3A31" w:rsidP="004A3A31">
      <w:pPr>
        <w:numPr>
          <w:ilvl w:val="0"/>
          <w:numId w:val="2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квитанция об оплате госпошлины (для физических лиц – 2000 руб., если документы подаются в электронном виде – 1400 руб.)</w:t>
      </w:r>
    </w:p>
    <w:p w:rsidR="004A3A31" w:rsidRPr="00F9094A" w:rsidRDefault="004A3A31" w:rsidP="004A3A31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Подать заявление на государственную регистрацию прав можно в МФЦ или в офисы Кадастровой палаты, также можно воспользоваться электронным сервис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history="1">
        <w:proofErr w:type="spellStart"/>
        <w:r w:rsidRPr="0045484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Росреестра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3A31" w:rsidRDefault="004A3A31" w:rsidP="00272B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2755B" w:rsidRPr="004B4AA4" w:rsidRDefault="0072755B" w:rsidP="00097B5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72755B" w:rsidRPr="004B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F7"/>
    <w:rsid w:val="0000526F"/>
    <w:rsid w:val="00046449"/>
    <w:rsid w:val="000963C3"/>
    <w:rsid w:val="00097B5A"/>
    <w:rsid w:val="000B2189"/>
    <w:rsid w:val="000C4F9D"/>
    <w:rsid w:val="00206934"/>
    <w:rsid w:val="00222F31"/>
    <w:rsid w:val="00272B25"/>
    <w:rsid w:val="002F7874"/>
    <w:rsid w:val="003408C5"/>
    <w:rsid w:val="003A5064"/>
    <w:rsid w:val="003F2177"/>
    <w:rsid w:val="004A3A31"/>
    <w:rsid w:val="004B4AA4"/>
    <w:rsid w:val="004D0E34"/>
    <w:rsid w:val="005176FB"/>
    <w:rsid w:val="00524CE8"/>
    <w:rsid w:val="005C138E"/>
    <w:rsid w:val="006E110A"/>
    <w:rsid w:val="006F7388"/>
    <w:rsid w:val="0072755B"/>
    <w:rsid w:val="00742C69"/>
    <w:rsid w:val="0089342E"/>
    <w:rsid w:val="009957F7"/>
    <w:rsid w:val="00A57804"/>
    <w:rsid w:val="00A81BA0"/>
    <w:rsid w:val="00B06B9C"/>
    <w:rsid w:val="00B167D7"/>
    <w:rsid w:val="00B751F8"/>
    <w:rsid w:val="00BF4D38"/>
    <w:rsid w:val="00C0546F"/>
    <w:rsid w:val="00CE25FA"/>
    <w:rsid w:val="00D56D51"/>
    <w:rsid w:val="00E50A10"/>
    <w:rsid w:val="00E54E5B"/>
    <w:rsid w:val="00E75CFC"/>
    <w:rsid w:val="00ED34DB"/>
    <w:rsid w:val="00EF7E0D"/>
    <w:rsid w:val="00F159CE"/>
    <w:rsid w:val="00F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DC19"/>
  <w15:chartTrackingRefBased/>
  <w15:docId w15:val="{4D016A88-E8D0-44B4-A14C-AB446D0D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7B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7B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7B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B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7B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97B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097B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804"/>
    <w:rPr>
      <w:rFonts w:ascii="Segoe UI" w:hAnsi="Segoe UI" w:cs="Segoe UI"/>
      <w:sz w:val="18"/>
      <w:szCs w:val="18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4A3A3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A3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625f7f7ad302ab285fe87457521eb265c7dbee3c/" TargetMode="External"/><Relationship Id="rId13" Type="http://schemas.openxmlformats.org/officeDocument/2006/relationships/hyperlink" Target="http://www.consultant.ru/document/cons_doc_LAW_76459/b819c620a8c698de35861ad4c9d9696ee0c3ee7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027/38e5ae3585f72de3522eeb3d3420eb185d57c18d/" TargetMode="External"/><Relationship Id="rId12" Type="http://schemas.openxmlformats.org/officeDocument/2006/relationships/hyperlink" Target="http://www.consultant.ru/document/cons_doc_LAW_9027/b1a993705399bf4cbb20df769e04d055c4d1f17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027/e92736ea135e1b4b4f24d328a683d6954e73a27c/" TargetMode="External"/><Relationship Id="rId11" Type="http://schemas.openxmlformats.org/officeDocument/2006/relationships/hyperlink" Target="http://www.consultant.ru/document/cons_doc_LAW_9027/e9b1f2aeabf3c6b71feaf2170dd49d4d1c70d5d5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5142/ad08909251f4d26ebc935648e4e708a31e1603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42/4721eaf980204a7ee93eb51b30688e14998af84a/" TargetMode="External"/><Relationship Id="rId14" Type="http://schemas.openxmlformats.org/officeDocument/2006/relationships/hyperlink" Target="https://rosreestr.gov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Чигоева Кристина Васильевна</dc:creator>
  <cp:keywords/>
  <dc:description/>
  <cp:lastModifiedBy>Светлана</cp:lastModifiedBy>
  <cp:revision>2</cp:revision>
  <cp:lastPrinted>2021-03-10T06:03:00Z</cp:lastPrinted>
  <dcterms:created xsi:type="dcterms:W3CDTF">2021-03-18T09:24:00Z</dcterms:created>
  <dcterms:modified xsi:type="dcterms:W3CDTF">2021-03-18T09:24:00Z</dcterms:modified>
</cp:coreProperties>
</file>